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4F340B" w14:textId="33CC9F08" w:rsidR="00CE3AB8" w:rsidRPr="007C7AB9" w:rsidRDefault="00654195">
      <w:pPr>
        <w:jc w:val="center"/>
        <w:rPr>
          <w:rFonts w:asciiTheme="minorHAnsi" w:hAnsiTheme="minorHAnsi"/>
        </w:rPr>
      </w:pPr>
      <w:bookmarkStart w:id="0" w:name="h.gjdgxs" w:colFirst="0" w:colLast="0"/>
      <w:bookmarkEnd w:id="0"/>
      <w:r w:rsidRPr="007C7AB9">
        <w:rPr>
          <w:rFonts w:asciiTheme="minorHAnsi" w:eastAsia="Calibri" w:hAnsiTheme="minorHAnsi" w:cs="Calibri"/>
          <w:b/>
          <w:i/>
          <w:color w:val="1F497D"/>
          <w:sz w:val="32"/>
          <w:szCs w:val="32"/>
        </w:rPr>
        <w:t>IASC</w:t>
      </w:r>
      <w:bookmarkStart w:id="1" w:name="_GoBack"/>
      <w:bookmarkEnd w:id="1"/>
      <w:r w:rsidRPr="007C7AB9">
        <w:rPr>
          <w:rFonts w:asciiTheme="minorHAnsi" w:eastAsia="Calibri" w:hAnsiTheme="minorHAnsi" w:cs="Calibri"/>
          <w:b/>
          <w:i/>
          <w:color w:val="1F497D"/>
          <w:sz w:val="32"/>
          <w:szCs w:val="32"/>
        </w:rPr>
        <w:t xml:space="preserve"> REFERENCE GROUP ON PROTRACTED </w:t>
      </w:r>
      <w:r w:rsidR="00F0477B">
        <w:rPr>
          <w:rFonts w:asciiTheme="minorHAnsi" w:eastAsia="Calibri" w:hAnsiTheme="minorHAnsi" w:cs="Calibri"/>
          <w:b/>
          <w:i/>
          <w:color w:val="1F497D"/>
          <w:sz w:val="32"/>
          <w:szCs w:val="32"/>
        </w:rPr>
        <w:t>I</w:t>
      </w:r>
      <w:r w:rsidR="004A5D72">
        <w:rPr>
          <w:rFonts w:asciiTheme="minorHAnsi" w:eastAsia="Calibri" w:hAnsiTheme="minorHAnsi" w:cs="Calibri"/>
          <w:b/>
          <w:i/>
          <w:color w:val="1F497D"/>
          <w:sz w:val="32"/>
          <w:szCs w:val="32"/>
        </w:rPr>
        <w:t>NTERNAL</w:t>
      </w:r>
      <w:r w:rsidR="00F0477B">
        <w:rPr>
          <w:rFonts w:asciiTheme="minorHAnsi" w:eastAsia="Calibri" w:hAnsiTheme="minorHAnsi" w:cs="Calibri"/>
          <w:b/>
          <w:i/>
          <w:color w:val="1F497D"/>
          <w:sz w:val="32"/>
          <w:szCs w:val="32"/>
        </w:rPr>
        <w:t xml:space="preserve"> </w:t>
      </w:r>
      <w:r w:rsidRPr="007C7AB9">
        <w:rPr>
          <w:rFonts w:asciiTheme="minorHAnsi" w:eastAsia="Calibri" w:hAnsiTheme="minorHAnsi" w:cs="Calibri"/>
          <w:b/>
          <w:i/>
          <w:color w:val="1F497D"/>
          <w:sz w:val="32"/>
          <w:szCs w:val="32"/>
        </w:rPr>
        <w:t>DISPLACEMENT</w:t>
      </w:r>
    </w:p>
    <w:p w14:paraId="398C5ED1" w14:textId="77777777" w:rsidR="00CE3AB8" w:rsidRPr="007C7AB9" w:rsidRDefault="00654195">
      <w:pPr>
        <w:jc w:val="center"/>
        <w:rPr>
          <w:rFonts w:asciiTheme="minorHAnsi" w:hAnsiTheme="minorHAnsi"/>
        </w:rPr>
      </w:pPr>
      <w:r w:rsidRPr="007C7AB9">
        <w:rPr>
          <w:rFonts w:asciiTheme="minorHAnsi" w:eastAsia="Calibri" w:hAnsiTheme="minorHAnsi" w:cs="Calibri"/>
          <w:b/>
          <w:color w:val="1F497D"/>
          <w:sz w:val="32"/>
          <w:szCs w:val="32"/>
        </w:rPr>
        <w:t xml:space="preserve">DRAFT Work Plan </w:t>
      </w:r>
    </w:p>
    <w:p w14:paraId="591E4314" w14:textId="603A12BE" w:rsidR="00CE3AB8" w:rsidRPr="007C7AB9" w:rsidRDefault="00F0477B">
      <w:pPr>
        <w:jc w:val="center"/>
        <w:rPr>
          <w:rFonts w:asciiTheme="minorHAnsi" w:hAnsiTheme="minorHAnsi"/>
        </w:rPr>
      </w:pPr>
      <w:r w:rsidRPr="007C7AB9">
        <w:rPr>
          <w:rFonts w:asciiTheme="minorHAnsi" w:eastAsia="Calibri" w:hAnsiTheme="minorHAnsi" w:cs="Calibri"/>
          <w:b/>
          <w:color w:val="1F497D"/>
          <w:sz w:val="32"/>
          <w:szCs w:val="32"/>
        </w:rPr>
        <w:t xml:space="preserve">August </w:t>
      </w:r>
      <w:r w:rsidR="00654195" w:rsidRPr="007C7AB9">
        <w:rPr>
          <w:rFonts w:asciiTheme="minorHAnsi" w:eastAsia="Calibri" w:hAnsiTheme="minorHAnsi" w:cs="Calibri"/>
          <w:b/>
          <w:color w:val="1F497D"/>
          <w:sz w:val="32"/>
          <w:szCs w:val="32"/>
        </w:rPr>
        <w:t>2016-December 2017</w:t>
      </w:r>
    </w:p>
    <w:p w14:paraId="79003738" w14:textId="77777777" w:rsidR="00CE3AB8" w:rsidRPr="007C7AB9" w:rsidRDefault="00654195">
      <w:pPr>
        <w:jc w:val="center"/>
        <w:rPr>
          <w:rFonts w:asciiTheme="minorHAnsi" w:hAnsiTheme="minorHAnsi"/>
        </w:rPr>
      </w:pPr>
      <w:r w:rsidRPr="007C7AB9">
        <w:rPr>
          <w:rFonts w:asciiTheme="minorHAnsi" w:eastAsia="Calibri" w:hAnsiTheme="minorHAnsi" w:cs="Calibri"/>
          <w:b/>
          <w:i/>
          <w:color w:val="1F497D"/>
        </w:rPr>
        <w:t>Date circulated: 05.05.2016</w:t>
      </w:r>
    </w:p>
    <w:p w14:paraId="18536132" w14:textId="77777777" w:rsidR="00CE3AB8" w:rsidRPr="007C7AB9" w:rsidRDefault="00CE3AB8">
      <w:pPr>
        <w:rPr>
          <w:rFonts w:asciiTheme="minorHAnsi" w:hAnsiTheme="minorHAnsi"/>
        </w:rPr>
      </w:pPr>
    </w:p>
    <w:p w14:paraId="51C48CC3" w14:textId="77777777" w:rsidR="00CE3AB8" w:rsidRPr="007C7AB9" w:rsidRDefault="00654195">
      <w:pPr>
        <w:rPr>
          <w:rFonts w:asciiTheme="minorHAnsi" w:hAnsiTheme="minorHAnsi"/>
        </w:rPr>
      </w:pPr>
      <w:r w:rsidRPr="007C7AB9">
        <w:rPr>
          <w:rFonts w:asciiTheme="minorHAnsi" w:eastAsia="Calibri" w:hAnsiTheme="minorHAnsi" w:cs="Calibri"/>
          <w:i/>
        </w:rPr>
        <w:t>NB: This Work Plan should be read in conjunction with the 2016-2017 IASC Working Group priorities and the Group’s Terms of Reference.</w:t>
      </w:r>
    </w:p>
    <w:p w14:paraId="7C58E742" w14:textId="77777777" w:rsidR="00CE3AB8" w:rsidRPr="007C7AB9" w:rsidRDefault="00CE3AB8">
      <w:pPr>
        <w:rPr>
          <w:rFonts w:asciiTheme="minorHAnsi" w:hAnsiTheme="minorHAnsi"/>
        </w:rPr>
      </w:pPr>
      <w:bookmarkStart w:id="2" w:name="h.30j0zll" w:colFirst="0" w:colLast="0"/>
      <w:bookmarkEnd w:id="2"/>
    </w:p>
    <w:p w14:paraId="79ACC7AF" w14:textId="77777777" w:rsidR="00CE3AB8" w:rsidRPr="007C7AB9" w:rsidRDefault="00654195">
      <w:pPr>
        <w:rPr>
          <w:rFonts w:asciiTheme="minorHAnsi" w:hAnsiTheme="minorHAnsi"/>
        </w:rPr>
      </w:pPr>
      <w:r w:rsidRPr="007C7AB9">
        <w:rPr>
          <w:rFonts w:asciiTheme="minorHAnsi" w:eastAsia="Calibri" w:hAnsiTheme="minorHAnsi" w:cs="Calibri"/>
          <w:i/>
        </w:rPr>
        <w:t xml:space="preserve">* Please highlight any activities that have potential crossover with other IASC priorities, Task Teams (TTs), or Reference Groups (RGs), indicating the particular priority/TT/RG.  </w:t>
      </w:r>
    </w:p>
    <w:p w14:paraId="74757663" w14:textId="77777777" w:rsidR="00CE3AB8" w:rsidRPr="007C7AB9" w:rsidRDefault="00CE3AB8">
      <w:pPr>
        <w:rPr>
          <w:rFonts w:asciiTheme="minorHAnsi" w:hAnsiTheme="minorHAnsi"/>
        </w:rPr>
      </w:pPr>
    </w:p>
    <w:tbl>
      <w:tblPr>
        <w:tblStyle w:val="a"/>
        <w:tblW w:w="1357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0"/>
        <w:gridCol w:w="1800"/>
        <w:gridCol w:w="1855"/>
      </w:tblGrid>
      <w:tr w:rsidR="00CE3AB8" w:rsidRPr="00F0477B" w14:paraId="47CD2D0F" w14:textId="77777777">
        <w:tc>
          <w:tcPr>
            <w:tcW w:w="13575" w:type="dxa"/>
            <w:gridSpan w:val="3"/>
          </w:tcPr>
          <w:p w14:paraId="594BB0DE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  <w:b/>
                <w:sz w:val="28"/>
                <w:szCs w:val="28"/>
              </w:rPr>
              <w:t>Output 1: Operational Policy on Internal Displacement in Protracted Situations</w:t>
            </w:r>
          </w:p>
        </w:tc>
      </w:tr>
      <w:tr w:rsidR="00CE3AB8" w:rsidRPr="00F0477B" w14:paraId="1608AC4D" w14:textId="77777777">
        <w:tc>
          <w:tcPr>
            <w:tcW w:w="9920" w:type="dxa"/>
          </w:tcPr>
          <w:p w14:paraId="25466E52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  <w:b/>
                <w:sz w:val="26"/>
                <w:szCs w:val="26"/>
              </w:rPr>
              <w:t>Activities</w:t>
            </w:r>
          </w:p>
        </w:tc>
        <w:tc>
          <w:tcPr>
            <w:tcW w:w="1800" w:type="dxa"/>
          </w:tcPr>
          <w:p w14:paraId="1A02F969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  <w:b/>
                <w:sz w:val="26"/>
                <w:szCs w:val="26"/>
              </w:rPr>
              <w:t xml:space="preserve">Focal Points* </w:t>
            </w:r>
          </w:p>
        </w:tc>
        <w:tc>
          <w:tcPr>
            <w:tcW w:w="1855" w:type="dxa"/>
          </w:tcPr>
          <w:p w14:paraId="7F26FEC4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  <w:b/>
                <w:sz w:val="26"/>
                <w:szCs w:val="26"/>
              </w:rPr>
              <w:t>Timeframe</w:t>
            </w:r>
          </w:p>
        </w:tc>
      </w:tr>
      <w:tr w:rsidR="00CE3AB8" w:rsidRPr="00F0477B" w14:paraId="69D943F0" w14:textId="77777777">
        <w:tc>
          <w:tcPr>
            <w:tcW w:w="9920" w:type="dxa"/>
          </w:tcPr>
          <w:p w14:paraId="6766C02C" w14:textId="0EA193CE" w:rsidR="00F0477B" w:rsidRPr="007C7AB9" w:rsidRDefault="00F0477B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Arial" w:hAnsiTheme="minorHAnsi" w:cs="Arial"/>
                <w:sz w:val="22"/>
                <w:szCs w:val="22"/>
              </w:rPr>
              <w:t xml:space="preserve">(Desk review) </w:t>
            </w:r>
          </w:p>
          <w:p w14:paraId="14D9831C" w14:textId="77195220" w:rsidR="00F0477B" w:rsidRPr="007C7AB9" w:rsidRDefault="00861286" w:rsidP="007C7AB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Arial" w:hAnsiTheme="minorHAnsi" w:cs="Arial"/>
                <w:sz w:val="22"/>
                <w:szCs w:val="22"/>
              </w:rPr>
              <w:t xml:space="preserve">Understand why IDPs in protracted situations become invisible; identify ways to make them visible; </w:t>
            </w:r>
            <w:r w:rsidRPr="007C7AB9">
              <w:rPr>
                <w:rFonts w:asciiTheme="minorHAnsi" w:eastAsia="Calibri" w:hAnsiTheme="minorHAnsi" w:cs="Calibri"/>
              </w:rPr>
              <w:t>i</w:t>
            </w:r>
            <w:r w:rsidR="00654195" w:rsidRPr="007C7AB9">
              <w:rPr>
                <w:rFonts w:asciiTheme="minorHAnsi" w:eastAsia="Calibri" w:hAnsiTheme="minorHAnsi" w:cs="Calibri"/>
              </w:rPr>
              <w:t xml:space="preserve">dentify the specific needs of IDPs in protracted situations, noting in particular the invisibility of long-time IDP communities and their </w:t>
            </w:r>
            <w:proofErr w:type="spellStart"/>
            <w:r w:rsidR="00654195" w:rsidRPr="007C7AB9">
              <w:rPr>
                <w:rFonts w:asciiTheme="minorHAnsi" w:eastAsia="Calibri" w:hAnsiTheme="minorHAnsi" w:cs="Calibri"/>
              </w:rPr>
              <w:t>marginalisation</w:t>
            </w:r>
            <w:proofErr w:type="spellEnd"/>
            <w:r w:rsidR="00654195" w:rsidRPr="007C7AB9">
              <w:rPr>
                <w:rFonts w:asciiTheme="minorHAnsi" w:eastAsia="Calibri" w:hAnsiTheme="minorHAnsi" w:cs="Calibri"/>
              </w:rPr>
              <w:t xml:space="preserve"> from many processes</w:t>
            </w:r>
            <w:r w:rsidR="00F0477B" w:rsidRPr="007C7AB9">
              <w:rPr>
                <w:rFonts w:asciiTheme="minorHAnsi" w:eastAsia="Calibri" w:hAnsiTheme="minorHAnsi" w:cs="Calibri"/>
              </w:rPr>
              <w:t xml:space="preserve">; </w:t>
            </w:r>
          </w:p>
          <w:p w14:paraId="2BF30085" w14:textId="7787924C" w:rsidR="00CE3AB8" w:rsidRDefault="00F0477B" w:rsidP="007C7AB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Calibri" w:hAnsiTheme="minorHAnsi" w:cs="Calibri"/>
              </w:rPr>
              <w:t xml:space="preserve">Identify key lessons from reports and studies on protracted displacement issued by relevant processes; </w:t>
            </w:r>
          </w:p>
          <w:p w14:paraId="519B2B96" w14:textId="48E3F6ED" w:rsidR="00F73B66" w:rsidRPr="007C7AB9" w:rsidRDefault="00F73B66" w:rsidP="007C7AB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Identify existing guidance and policy already in place in member and other institutions and in the public domain;</w:t>
            </w:r>
          </w:p>
          <w:p w14:paraId="2467BC2B" w14:textId="21708F16" w:rsidR="00CE3AB8" w:rsidRPr="007C7AB9" w:rsidRDefault="00F0477B" w:rsidP="007C7AB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 xml:space="preserve">Identify and assess parallels in adjacent areas (e.g. disaster risk reduction, </w:t>
            </w:r>
            <w:proofErr w:type="spellStart"/>
            <w:r w:rsidRPr="007C7AB9">
              <w:rPr>
                <w:rFonts w:asciiTheme="minorHAnsi" w:eastAsia="Calibri" w:hAnsiTheme="minorHAnsi" w:cs="Calibri"/>
              </w:rPr>
              <w:t>favouring</w:t>
            </w:r>
            <w:proofErr w:type="spellEnd"/>
            <w:r w:rsidRPr="007C7AB9">
              <w:rPr>
                <w:rFonts w:asciiTheme="minorHAnsi" w:eastAsia="Calibri" w:hAnsiTheme="minorHAnsi" w:cs="Calibri"/>
              </w:rPr>
              <w:t xml:space="preserve"> national development systems over international action, etc.) so the operational policy can be enriched by lessons from the work to support governments and local </w:t>
            </w:r>
            <w:r w:rsidRPr="007C7AB9">
              <w:rPr>
                <w:rFonts w:asciiTheme="minorHAnsi" w:eastAsia="Calibri" w:hAnsiTheme="minorHAnsi" w:cs="Calibri"/>
              </w:rPr>
              <w:lastRenderedPageBreak/>
              <w:t>civil society</w:t>
            </w:r>
          </w:p>
        </w:tc>
        <w:tc>
          <w:tcPr>
            <w:tcW w:w="1800" w:type="dxa"/>
          </w:tcPr>
          <w:p w14:paraId="3AAA8CE5" w14:textId="3C87C360" w:rsidR="00CE3AB8" w:rsidRPr="007C7AB9" w:rsidRDefault="00F0477B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hAnsiTheme="minorHAnsi"/>
              </w:rPr>
              <w:lastRenderedPageBreak/>
              <w:t>Graduate Institute, supported by IDMC and members</w:t>
            </w:r>
          </w:p>
        </w:tc>
        <w:tc>
          <w:tcPr>
            <w:tcW w:w="1855" w:type="dxa"/>
          </w:tcPr>
          <w:p w14:paraId="3BEC0DC6" w14:textId="762E0366" w:rsidR="00CE3AB8" w:rsidRPr="007C7AB9" w:rsidRDefault="00861286" w:rsidP="00F73B66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September</w:t>
            </w:r>
            <w:r w:rsidR="00F0477B" w:rsidRPr="007C7AB9">
              <w:rPr>
                <w:rFonts w:asciiTheme="minorHAnsi" w:eastAsia="Calibri" w:hAnsiTheme="minorHAnsi" w:cs="Calibri"/>
              </w:rPr>
              <w:t xml:space="preserve"> – </w:t>
            </w:r>
            <w:r w:rsidR="00F73B66">
              <w:rPr>
                <w:rFonts w:asciiTheme="minorHAnsi" w:eastAsia="Calibri" w:hAnsiTheme="minorHAnsi" w:cs="Calibri"/>
              </w:rPr>
              <w:t>December</w:t>
            </w:r>
            <w:r w:rsidR="00F0477B" w:rsidRPr="007C7AB9">
              <w:rPr>
                <w:rFonts w:asciiTheme="minorHAnsi" w:eastAsia="Calibri" w:hAnsiTheme="minorHAnsi" w:cs="Calibri"/>
              </w:rPr>
              <w:t xml:space="preserve"> </w:t>
            </w:r>
            <w:r w:rsidRPr="007C7AB9">
              <w:rPr>
                <w:rFonts w:asciiTheme="minorHAnsi" w:eastAsia="Calibri" w:hAnsiTheme="minorHAnsi" w:cs="Calibri"/>
              </w:rPr>
              <w:t xml:space="preserve"> </w:t>
            </w:r>
            <w:r w:rsidR="00654195" w:rsidRPr="007C7AB9">
              <w:rPr>
                <w:rFonts w:asciiTheme="minorHAnsi" w:eastAsia="Calibri" w:hAnsiTheme="minorHAnsi" w:cs="Calibri"/>
              </w:rPr>
              <w:t>2016</w:t>
            </w:r>
          </w:p>
        </w:tc>
      </w:tr>
      <w:tr w:rsidR="00CE3AB8" w:rsidRPr="00F0477B" w14:paraId="2CC2DD6E" w14:textId="77777777">
        <w:tc>
          <w:tcPr>
            <w:tcW w:w="9920" w:type="dxa"/>
          </w:tcPr>
          <w:p w14:paraId="49FB0437" w14:textId="5EC0A1D6" w:rsidR="00CE3AB8" w:rsidRPr="007C7AB9" w:rsidRDefault="00654195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Calibri" w:hAnsiTheme="minorHAnsi" w:cs="Calibri"/>
              </w:rPr>
              <w:t>Review country-specific recommendations made by the Special Rapporteur on the Human Rights of IDPs for their applicability to wider guidance and direction</w:t>
            </w:r>
            <w:r w:rsidR="00861286" w:rsidRPr="007C7AB9">
              <w:rPr>
                <w:rFonts w:asciiTheme="minorHAnsi" w:eastAsia="Calibri" w:hAnsiTheme="minorHAnsi" w:cs="Calibri"/>
              </w:rPr>
              <w:t xml:space="preserve">. </w:t>
            </w:r>
            <w:r w:rsidR="00861286" w:rsidRPr="007C7AB9">
              <w:rPr>
                <w:rFonts w:asciiTheme="minorHAnsi" w:eastAsia="Arial" w:hAnsiTheme="minorHAnsi" w:cs="Arial"/>
                <w:sz w:val="22"/>
                <w:szCs w:val="22"/>
              </w:rPr>
              <w:t>Brief new SR IDPs on the RG findings of IDPs in protracted situations (e.g. specific needs, key lessons learnt). Identify potential countries with protracted displacement for SR field missions</w:t>
            </w:r>
            <w:r w:rsidRPr="007C7AB9">
              <w:rPr>
                <w:rFonts w:asciiTheme="minorHAnsi" w:eastAsia="Calibri" w:hAnsiTheme="minorHAnsi" w:cs="Calibri"/>
              </w:rPr>
              <w:t>.</w:t>
            </w:r>
            <w:r w:rsidR="00861286" w:rsidRPr="007C7AB9">
              <w:rPr>
                <w:rFonts w:asciiTheme="minorHAnsi" w:eastAsia="Calibri" w:hAnsiTheme="minorHAnsi" w:cs="Calibri"/>
              </w:rPr>
              <w:t xml:space="preserve">  </w:t>
            </w:r>
          </w:p>
          <w:p w14:paraId="3DDD9A22" w14:textId="77777777" w:rsidR="00CE3AB8" w:rsidRPr="007C7AB9" w:rsidRDefault="00CE3AB8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796ED042" w14:textId="3C60D7BD" w:rsidR="00CE3AB8" w:rsidRPr="007C7AB9" w:rsidRDefault="004A5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Institute, supported by UNHCR-based</w:t>
            </w:r>
            <w:r w:rsidR="0001414A">
              <w:rPr>
                <w:rFonts w:asciiTheme="minorHAnsi" w:hAnsiTheme="minorHAnsi"/>
              </w:rPr>
              <w:t xml:space="preserve"> </w:t>
            </w:r>
            <w:proofErr w:type="spellStart"/>
            <w:r w:rsidR="0001414A">
              <w:rPr>
                <w:rFonts w:asciiTheme="minorHAnsi" w:hAnsiTheme="minorHAnsi"/>
              </w:rPr>
              <w:t>secondment</w:t>
            </w:r>
            <w:proofErr w:type="spellEnd"/>
            <w:r w:rsidR="0001414A">
              <w:rPr>
                <w:rFonts w:asciiTheme="minorHAnsi" w:hAnsiTheme="minorHAnsi"/>
              </w:rPr>
              <w:t xml:space="preserve"> on</w:t>
            </w:r>
            <w:r>
              <w:rPr>
                <w:rFonts w:asciiTheme="minorHAnsi" w:hAnsiTheme="minorHAnsi"/>
              </w:rPr>
              <w:t xml:space="preserve"> </w:t>
            </w:r>
            <w:r w:rsidR="0001414A">
              <w:rPr>
                <w:rFonts w:asciiTheme="minorHAnsi" w:hAnsiTheme="minorHAnsi"/>
              </w:rPr>
              <w:t>SR on</w:t>
            </w:r>
            <w:r>
              <w:rPr>
                <w:rFonts w:asciiTheme="minorHAnsi" w:hAnsiTheme="minorHAnsi"/>
              </w:rPr>
              <w:t xml:space="preserve"> </w:t>
            </w:r>
            <w:r w:rsidR="0001414A">
              <w:rPr>
                <w:rFonts w:asciiTheme="minorHAnsi" w:hAnsiTheme="minorHAnsi"/>
              </w:rPr>
              <w:t>IDPs</w:t>
            </w:r>
          </w:p>
        </w:tc>
        <w:tc>
          <w:tcPr>
            <w:tcW w:w="1855" w:type="dxa"/>
          </w:tcPr>
          <w:p w14:paraId="2B385FE0" w14:textId="1660D9CC" w:rsidR="00CE3AB8" w:rsidRPr="007C7AB9" w:rsidRDefault="00654195" w:rsidP="00204EFB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September</w:t>
            </w:r>
            <w:r w:rsidR="00861286" w:rsidRPr="007C7AB9">
              <w:rPr>
                <w:rFonts w:asciiTheme="minorHAnsi" w:eastAsia="Calibri" w:hAnsiTheme="minorHAnsi" w:cs="Calibri"/>
              </w:rPr>
              <w:t>-</w:t>
            </w:r>
            <w:r w:rsidR="00204EFB" w:rsidRPr="007C7AB9">
              <w:rPr>
                <w:rFonts w:asciiTheme="minorHAnsi" w:eastAsia="Calibri" w:hAnsiTheme="minorHAnsi" w:cs="Calibri"/>
              </w:rPr>
              <w:t>November</w:t>
            </w:r>
            <w:r w:rsidRPr="007C7AB9">
              <w:rPr>
                <w:rFonts w:asciiTheme="minorHAnsi" w:eastAsia="Calibri" w:hAnsiTheme="minorHAnsi" w:cs="Calibri"/>
              </w:rPr>
              <w:t xml:space="preserve"> 2016</w:t>
            </w:r>
          </w:p>
        </w:tc>
      </w:tr>
      <w:tr w:rsidR="004A5D72" w:rsidRPr="00F0477B" w14:paraId="532CFDA7" w14:textId="77777777">
        <w:tc>
          <w:tcPr>
            <w:tcW w:w="9920" w:type="dxa"/>
          </w:tcPr>
          <w:p w14:paraId="4263730D" w14:textId="188A90C5" w:rsidR="004A5D72" w:rsidRPr="004A5D72" w:rsidRDefault="004A5D72" w:rsidP="004A5D72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Study on the Impact of Long-Term Internal Displacement and Way Forward; </w:t>
            </w:r>
            <w:proofErr w:type="gramStart"/>
            <w:r>
              <w:rPr>
                <w:rFonts w:asciiTheme="minorHAnsi" w:eastAsia="Calibri" w:hAnsiTheme="minorHAnsi" w:cs="Calibri"/>
              </w:rPr>
              <w:t>Contribute</w:t>
            </w:r>
            <w:proofErr w:type="gramEnd"/>
            <w:r>
              <w:rPr>
                <w:rFonts w:asciiTheme="minorHAnsi" w:eastAsia="Calibri" w:hAnsiTheme="minorHAnsi" w:cs="Calibri"/>
              </w:rPr>
              <w:t xml:space="preserve"> to the Study, review findings and recommendations, translate them into guidance.  </w:t>
            </w:r>
          </w:p>
        </w:tc>
        <w:tc>
          <w:tcPr>
            <w:tcW w:w="1800" w:type="dxa"/>
          </w:tcPr>
          <w:p w14:paraId="7C41973B" w14:textId="2F266949" w:rsidR="004A5D72" w:rsidRPr="004A5D72" w:rsidRDefault="004A5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OCHA, Consultants, Graduate Institute, RG members</w:t>
            </w:r>
          </w:p>
        </w:tc>
        <w:tc>
          <w:tcPr>
            <w:tcW w:w="1855" w:type="dxa"/>
          </w:tcPr>
          <w:p w14:paraId="7B53A6A5" w14:textId="16E08CE7" w:rsidR="004A5D72" w:rsidRPr="004A5D72" w:rsidRDefault="004A5D72" w:rsidP="00204EFB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September-December 2016</w:t>
            </w:r>
          </w:p>
        </w:tc>
      </w:tr>
      <w:tr w:rsidR="00CE3AB8" w:rsidRPr="00F0477B" w14:paraId="38BBA339" w14:textId="77777777">
        <w:tc>
          <w:tcPr>
            <w:tcW w:w="9920" w:type="dxa"/>
          </w:tcPr>
          <w:p w14:paraId="50D3D904" w14:textId="6CC785C4" w:rsidR="00CE3AB8" w:rsidRPr="007C7AB9" w:rsidRDefault="00F0477B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Calibri" w:hAnsiTheme="minorHAnsi" w:cs="Calibri"/>
              </w:rPr>
              <w:t xml:space="preserve">(Through meetings and a possible workshop in January 2017) </w:t>
            </w:r>
            <w:r w:rsidR="00654195" w:rsidRPr="007C7AB9">
              <w:rPr>
                <w:rFonts w:asciiTheme="minorHAnsi" w:eastAsia="Calibri" w:hAnsiTheme="minorHAnsi" w:cs="Calibri"/>
              </w:rPr>
              <w:t>Identify recommendations</w:t>
            </w:r>
            <w:r w:rsidR="004A5D72">
              <w:rPr>
                <w:rFonts w:asciiTheme="minorHAnsi" w:eastAsia="Calibri" w:hAnsiTheme="minorHAnsi" w:cs="Calibri"/>
              </w:rPr>
              <w:t>/guidance</w:t>
            </w:r>
            <w:r w:rsidR="00654195" w:rsidRPr="007C7AB9">
              <w:rPr>
                <w:rFonts w:asciiTheme="minorHAnsi" w:eastAsia="Calibri" w:hAnsiTheme="minorHAnsi" w:cs="Calibri"/>
              </w:rPr>
              <w:t xml:space="preserve"> that focus on (a) how to monitor</w:t>
            </w:r>
            <w:r w:rsidR="00F73B66">
              <w:rPr>
                <w:rFonts w:asciiTheme="minorHAnsi" w:eastAsia="Calibri" w:hAnsiTheme="minorHAnsi" w:cs="Calibri"/>
              </w:rPr>
              <w:t xml:space="preserve"> the search for comprehensive solutions by</w:t>
            </w:r>
            <w:r w:rsidR="00654195" w:rsidRPr="007C7AB9">
              <w:rPr>
                <w:rFonts w:asciiTheme="minorHAnsi" w:eastAsia="Calibri" w:hAnsiTheme="minorHAnsi" w:cs="Calibri"/>
              </w:rPr>
              <w:t xml:space="preserve"> IDPs in protracted situations; (b) how to set up a response so as to avoid protracted displacement; c) how to frame interventions on pathways to solutions; d) how to capitalize on the engagement with development actors.</w:t>
            </w:r>
          </w:p>
          <w:p w14:paraId="6A396237" w14:textId="77777777" w:rsidR="00CE3AB8" w:rsidRPr="007C7AB9" w:rsidRDefault="00CE3AB8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3679CA2C" w14:textId="67E7A21C" w:rsidR="00CE3AB8" w:rsidRPr="007C7AB9" w:rsidRDefault="00F0477B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hAnsiTheme="minorHAnsi"/>
              </w:rPr>
              <w:t>UNDP / UNHCR (Supported by Graduate Institute and IDMC)</w:t>
            </w:r>
          </w:p>
        </w:tc>
        <w:tc>
          <w:tcPr>
            <w:tcW w:w="1855" w:type="dxa"/>
          </w:tcPr>
          <w:p w14:paraId="794DCCED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January-April 2017</w:t>
            </w:r>
          </w:p>
        </w:tc>
      </w:tr>
      <w:tr w:rsidR="00CE3AB8" w:rsidRPr="00F0477B" w14:paraId="42F3C861" w14:textId="77777777">
        <w:tc>
          <w:tcPr>
            <w:tcW w:w="9920" w:type="dxa"/>
          </w:tcPr>
          <w:p w14:paraId="117196C1" w14:textId="3D63AC0F" w:rsidR="00CE3AB8" w:rsidRPr="007C7AB9" w:rsidRDefault="00F0477B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Calibri" w:hAnsiTheme="minorHAnsi" w:cs="Calibri"/>
              </w:rPr>
              <w:t>Produce text for circulation and adoption by group before submission to IASC</w:t>
            </w:r>
          </w:p>
          <w:p w14:paraId="4DB123CF" w14:textId="77777777" w:rsidR="00CE3AB8" w:rsidRPr="007C7AB9" w:rsidRDefault="00CE3AB8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1FB790CC" w14:textId="21A8C4F4" w:rsidR="00CE3AB8" w:rsidRPr="007C7AB9" w:rsidRDefault="00F0477B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hAnsiTheme="minorHAnsi"/>
              </w:rPr>
              <w:t>UNDP / UNHCR (Supported by Graduate Institute and IDMC)</w:t>
            </w:r>
          </w:p>
        </w:tc>
        <w:tc>
          <w:tcPr>
            <w:tcW w:w="1855" w:type="dxa"/>
          </w:tcPr>
          <w:p w14:paraId="603A985B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May 2017</w:t>
            </w:r>
          </w:p>
        </w:tc>
      </w:tr>
      <w:tr w:rsidR="00CE3AB8" w:rsidRPr="00F0477B" w14:paraId="322E4469" w14:textId="77777777">
        <w:tc>
          <w:tcPr>
            <w:tcW w:w="9920" w:type="dxa"/>
          </w:tcPr>
          <w:p w14:paraId="1D5B0B9B" w14:textId="77777777" w:rsidR="00CE3AB8" w:rsidRPr="007C7AB9" w:rsidRDefault="00654195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Calibri" w:hAnsiTheme="minorHAnsi" w:cs="Calibri"/>
              </w:rPr>
              <w:t>Submit drafts for expert’s peer review /internal organizational reviews</w:t>
            </w:r>
          </w:p>
        </w:tc>
        <w:tc>
          <w:tcPr>
            <w:tcW w:w="1800" w:type="dxa"/>
          </w:tcPr>
          <w:p w14:paraId="48D8EF08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Co-chairs: UNHCR and UNDP</w:t>
            </w:r>
          </w:p>
        </w:tc>
        <w:tc>
          <w:tcPr>
            <w:tcW w:w="1855" w:type="dxa"/>
          </w:tcPr>
          <w:p w14:paraId="4556E8D0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June-July-August 2017</w:t>
            </w:r>
          </w:p>
        </w:tc>
      </w:tr>
      <w:tr w:rsidR="00CE3AB8" w:rsidRPr="00F0477B" w14:paraId="2640FC83" w14:textId="77777777">
        <w:tc>
          <w:tcPr>
            <w:tcW w:w="9920" w:type="dxa"/>
          </w:tcPr>
          <w:p w14:paraId="3403499C" w14:textId="77777777" w:rsidR="00CE3AB8" w:rsidRPr="007C7AB9" w:rsidRDefault="00654195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Calibri" w:hAnsiTheme="minorHAnsi" w:cs="Calibri"/>
              </w:rPr>
              <w:lastRenderedPageBreak/>
              <w:t>Integrate comments and share a revised version for endorsement to the Reference Group members.</w:t>
            </w:r>
          </w:p>
        </w:tc>
        <w:tc>
          <w:tcPr>
            <w:tcW w:w="1800" w:type="dxa"/>
          </w:tcPr>
          <w:p w14:paraId="7D2BBADD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Co-chairs: UNHCR and UNDP</w:t>
            </w:r>
          </w:p>
        </w:tc>
        <w:tc>
          <w:tcPr>
            <w:tcW w:w="1855" w:type="dxa"/>
          </w:tcPr>
          <w:p w14:paraId="11AC9E48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September 2017</w:t>
            </w:r>
          </w:p>
        </w:tc>
      </w:tr>
      <w:tr w:rsidR="00CE3AB8" w:rsidRPr="00F0477B" w14:paraId="04BBA277" w14:textId="77777777">
        <w:tc>
          <w:tcPr>
            <w:tcW w:w="9920" w:type="dxa"/>
          </w:tcPr>
          <w:p w14:paraId="2623E497" w14:textId="77777777" w:rsidR="00CE3AB8" w:rsidRPr="007C7AB9" w:rsidRDefault="00654195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7C7AB9">
              <w:rPr>
                <w:rFonts w:asciiTheme="minorHAnsi" w:eastAsia="Calibri" w:hAnsiTheme="minorHAnsi" w:cs="Calibri"/>
              </w:rPr>
              <w:t xml:space="preserve"> Final endorsed documents distributed to IASC members.</w:t>
            </w:r>
          </w:p>
        </w:tc>
        <w:tc>
          <w:tcPr>
            <w:tcW w:w="1800" w:type="dxa"/>
          </w:tcPr>
          <w:p w14:paraId="4A0534C5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IASC Secretariat</w:t>
            </w:r>
          </w:p>
        </w:tc>
        <w:tc>
          <w:tcPr>
            <w:tcW w:w="1855" w:type="dxa"/>
          </w:tcPr>
          <w:p w14:paraId="44C64115" w14:textId="77777777" w:rsidR="00CE3AB8" w:rsidRPr="007C7AB9" w:rsidRDefault="00654195">
            <w:pPr>
              <w:rPr>
                <w:rFonts w:asciiTheme="minorHAnsi" w:hAnsiTheme="minorHAnsi"/>
              </w:rPr>
            </w:pPr>
            <w:r w:rsidRPr="007C7AB9">
              <w:rPr>
                <w:rFonts w:asciiTheme="minorHAnsi" w:eastAsia="Calibri" w:hAnsiTheme="minorHAnsi" w:cs="Calibri"/>
              </w:rPr>
              <w:t>October 2017</w:t>
            </w:r>
          </w:p>
        </w:tc>
      </w:tr>
    </w:tbl>
    <w:p w14:paraId="2D546EEC" w14:textId="77777777" w:rsidR="00CE3AB8" w:rsidRPr="007C7AB9" w:rsidRDefault="00654195">
      <w:pPr>
        <w:rPr>
          <w:rFonts w:asciiTheme="minorHAnsi" w:hAnsiTheme="minorHAnsi"/>
        </w:rPr>
      </w:pPr>
      <w:r w:rsidRPr="007C7AB9">
        <w:rPr>
          <w:rFonts w:asciiTheme="minorHAnsi" w:eastAsia="Calibri" w:hAnsiTheme="minorHAnsi" w:cs="Calibri"/>
        </w:rPr>
        <w:t>*</w:t>
      </w:r>
      <w:r w:rsidRPr="007C7AB9">
        <w:rPr>
          <w:rFonts w:asciiTheme="minorHAnsi" w:eastAsia="Calibri" w:hAnsiTheme="minorHAnsi" w:cs="Calibri"/>
          <w:b/>
          <w:sz w:val="26"/>
          <w:szCs w:val="26"/>
        </w:rPr>
        <w:t>Lead and supporting organizations</w:t>
      </w:r>
    </w:p>
    <w:sectPr w:rsidR="00CE3AB8" w:rsidRPr="007C7AB9">
      <w:headerReference w:type="default" r:id="rId7"/>
      <w:pgSz w:w="16837" w:h="11905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F14EE" w14:textId="77777777" w:rsidR="000B4D13" w:rsidRDefault="000B4D13">
      <w:r>
        <w:separator/>
      </w:r>
    </w:p>
  </w:endnote>
  <w:endnote w:type="continuationSeparator" w:id="0">
    <w:p w14:paraId="2481AB98" w14:textId="77777777" w:rsidR="000B4D13" w:rsidRDefault="000B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83A1" w14:textId="77777777" w:rsidR="000B4D13" w:rsidRDefault="000B4D13">
      <w:r>
        <w:separator/>
      </w:r>
    </w:p>
  </w:footnote>
  <w:footnote w:type="continuationSeparator" w:id="0">
    <w:p w14:paraId="3C9EA51D" w14:textId="77777777" w:rsidR="000B4D13" w:rsidRDefault="000B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531B" w14:textId="77777777" w:rsidR="00CE3AB8" w:rsidRDefault="00654195">
    <w:pPr>
      <w:tabs>
        <w:tab w:val="center" w:pos="4320"/>
        <w:tab w:val="right" w:pos="8640"/>
      </w:tabs>
      <w:spacing w:before="720"/>
      <w:ind w:left="10800"/>
    </w:pPr>
    <w:r>
      <w:rPr>
        <w:noProof/>
        <w:lang w:val="en-GB" w:eastAsia="zh-CN"/>
      </w:rPr>
      <w:drawing>
        <wp:inline distT="0" distB="0" distL="0" distR="0" wp14:anchorId="01C55956" wp14:editId="0B00E61A">
          <wp:extent cx="2332691" cy="336446"/>
          <wp:effectExtent l="0" t="0" r="0" b="0"/>
          <wp:docPr id="1" name="image01.jpg" descr="S:\OD\IASC SECRETARIAT\Logo\IASC_LogoFull 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:\OD\IASC SECRETARIAT\Logo\IASC_LogoFull lo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691" cy="336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9D0048" w14:textId="77777777" w:rsidR="00CE3AB8" w:rsidRDefault="00CE3AB8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304"/>
    <w:multiLevelType w:val="hybridMultilevel"/>
    <w:tmpl w:val="0D8E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8C511E"/>
    <w:multiLevelType w:val="multilevel"/>
    <w:tmpl w:val="5CA45C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B8"/>
    <w:rsid w:val="0001414A"/>
    <w:rsid w:val="000B4D13"/>
    <w:rsid w:val="00204EFB"/>
    <w:rsid w:val="00234A38"/>
    <w:rsid w:val="004A5D72"/>
    <w:rsid w:val="005326AD"/>
    <w:rsid w:val="00654195"/>
    <w:rsid w:val="007C7AB9"/>
    <w:rsid w:val="00861286"/>
    <w:rsid w:val="00A04C8E"/>
    <w:rsid w:val="00CE3AB8"/>
    <w:rsid w:val="00E67518"/>
    <w:rsid w:val="00F0477B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B8989"/>
  <w15:docId w15:val="{79D51B8B-9D08-49C6-A6D9-228E131E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2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1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518"/>
  </w:style>
  <w:style w:type="paragraph" w:styleId="Footer">
    <w:name w:val="footer"/>
    <w:basedOn w:val="Normal"/>
    <w:link w:val="FooterChar"/>
    <w:uiPriority w:val="99"/>
    <w:unhideWhenUsed/>
    <w:rsid w:val="00E67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Swain</dc:creator>
  <cp:lastModifiedBy>ESCODA BRUNED</cp:lastModifiedBy>
  <cp:revision>2</cp:revision>
  <dcterms:created xsi:type="dcterms:W3CDTF">2016-09-30T12:44:00Z</dcterms:created>
  <dcterms:modified xsi:type="dcterms:W3CDTF">2016-09-30T12:44:00Z</dcterms:modified>
</cp:coreProperties>
</file>