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10A39" w14:textId="0A26B739" w:rsidR="00881066" w:rsidRDefault="007471E2" w:rsidP="007471E2">
      <w:pPr>
        <w:spacing w:after="0" w:line="240" w:lineRule="auto"/>
        <w:jc w:val="center"/>
        <w:rPr>
          <w:rFonts w:ascii="Calibri" w:eastAsia="Times New Roman" w:hAnsi="Calibri" w:cs="Arial"/>
          <w:b/>
          <w:bCs/>
          <w:color w:val="004080"/>
          <w:sz w:val="28"/>
          <w:szCs w:val="28"/>
        </w:rPr>
      </w:pPr>
      <w:r w:rsidRPr="007471E2">
        <w:rPr>
          <w:rFonts w:ascii="Calibri" w:eastAsia="Times New Roman" w:hAnsi="Calibri" w:cs="Arial"/>
          <w:b/>
          <w:bCs/>
          <w:noProof/>
          <w:color w:val="C6D9F1" w:themeColor="text2" w:themeTint="33"/>
          <w:sz w:val="28"/>
          <w:szCs w:val="28"/>
          <w:lang w:eastAsia="zh-CN"/>
        </w:rPr>
        <mc:AlternateContent>
          <mc:Choice Requires="wps">
            <w:drawing>
              <wp:anchor distT="0" distB="0" distL="114300" distR="114300" simplePos="0" relativeHeight="251659264" behindDoc="0" locked="0" layoutInCell="1" allowOverlap="1" wp14:anchorId="1FA08E28" wp14:editId="41FADC6C">
                <wp:simplePos x="0" y="0"/>
                <wp:positionH relativeFrom="margin">
                  <wp:align>right</wp:align>
                </wp:positionH>
                <wp:positionV relativeFrom="paragraph">
                  <wp:posOffset>40005</wp:posOffset>
                </wp:positionV>
                <wp:extent cx="7172325" cy="590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172325" cy="590550"/>
                        </a:xfrm>
                        <a:prstGeom prst="rect">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3D015F86" w14:textId="3DBA556A" w:rsidR="007471E2" w:rsidRPr="00010E4F" w:rsidRDefault="007471E2" w:rsidP="007471E2">
                            <w:pPr>
                              <w:spacing w:after="0" w:line="240" w:lineRule="auto"/>
                              <w:jc w:val="center"/>
                              <w:rPr>
                                <w:rFonts w:ascii="Calibri" w:eastAsia="Times New Roman" w:hAnsi="Calibri" w:cs="Arial"/>
                                <w:b/>
                                <w:bCs/>
                                <w:color w:val="FFFFFF" w:themeColor="background1"/>
                                <w:sz w:val="32"/>
                                <w:szCs w:val="32"/>
                              </w:rPr>
                            </w:pPr>
                            <w:r w:rsidRPr="00010E4F">
                              <w:rPr>
                                <w:rFonts w:ascii="Calibri" w:eastAsia="Times New Roman" w:hAnsi="Calibri" w:cs="Arial"/>
                                <w:b/>
                                <w:bCs/>
                                <w:color w:val="FFFFFF" w:themeColor="background1"/>
                                <w:sz w:val="32"/>
                                <w:szCs w:val="32"/>
                              </w:rPr>
                              <w:t xml:space="preserve">Progress Report from April to December 2016 </w:t>
                            </w:r>
                          </w:p>
                          <w:p w14:paraId="306B8E5D" w14:textId="77777777" w:rsidR="00010E4F" w:rsidRPr="00010E4F" w:rsidRDefault="00010E4F" w:rsidP="00010E4F">
                            <w:pPr>
                              <w:spacing w:after="0" w:line="240" w:lineRule="auto"/>
                              <w:jc w:val="center"/>
                              <w:rPr>
                                <w:rFonts w:ascii="Calibri" w:eastAsia="Times New Roman" w:hAnsi="Calibri" w:cs="Arial"/>
                                <w:b/>
                                <w:bCs/>
                                <w:color w:val="0070C0"/>
                                <w:sz w:val="32"/>
                                <w:szCs w:val="32"/>
                              </w:rPr>
                            </w:pPr>
                            <w:r w:rsidRPr="00010E4F">
                              <w:rPr>
                                <w:rFonts w:ascii="Calibri" w:eastAsia="Times New Roman" w:hAnsi="Calibri" w:cs="Arial"/>
                                <w:b/>
                                <w:bCs/>
                                <w:color w:val="0070C0"/>
                                <w:sz w:val="32"/>
                                <w:szCs w:val="32"/>
                              </w:rPr>
                              <w:t>IASC Reference Group on Protracted Internal Displacement</w:t>
                            </w:r>
                          </w:p>
                          <w:p w14:paraId="12ED5815" w14:textId="77777777" w:rsidR="007471E2" w:rsidRPr="00D064C8" w:rsidRDefault="007471E2" w:rsidP="007471E2">
                            <w:pPr>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08E28" id="Rectangle 1" o:spid="_x0000_s1026" style="position:absolute;left:0;text-align:left;margin-left:513.55pt;margin-top:3.15pt;width:564.75pt;height: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7WqgIAAMIFAAAOAAAAZHJzL2Uyb0RvYy54bWysVEtv2zAMvg/YfxB0X+1k9doGdYqgRYcB&#10;XVu0HXpWZCk2IImapMTOfv0o+dHndhh2sUWK/Eh+Inl61mlFdsL5BkxJZwc5JcJwqBqzKemPh8tP&#10;x5T4wEzFFBhR0r3w9Gz58cNpaxdiDjWoSjiCIMYvWlvSOgS7yDLPa6GZPwArDF5KcJoFFN0mqxxr&#10;EV2rbJ7nX7IWXGUdcOE9ai/6S7pM+FIKHm6k9CIQVVLMLaSvS991/GbLU7bYOGbrhg9psH/IQrPG&#10;YNAJ6oIFRraueQOlG+7AgwwHHHQGUjZcpBqwmln+qpr7mlmRakFyvJ1o8v8Pll/vbh1pKnw7SgzT&#10;+ER3SBozGyXILNLTWr9Aq3t76wbJ4zHW2kmn4x+rIF2idD9RKrpAOCqPZkfzz/OCEo53xUleFInz&#10;7MnbOh++CtAkHkrqMHpiku2ufMCIaDqaxGAeVFNdNkolIbaJOFeO7Bg+cOjmyVVt9Xeoeh02ST48&#10;M6qxGXr18ahG+NRsESUFexFAGdKW9KTACmIqkYu++nQKeyViGsrcCYkkYr19AhNiH4xxLkyYpdx8&#10;zSrRq4s/5pAAI7LEQifsAeBlzSN2z9RgH11F6v7JOe+j/8158kiRwYTJWTcG3HsACqsaIvf2I0k9&#10;NZGl0K07NInHNVR77DYH/Rh6yy8bfPQr5sMtczh3OKG4S8INfqQCZB6GEyU1uF/v6aM9jgPeUtLi&#10;HJfU/9wyJyhR3wwOysns8DAOfhIOi6M5Cu75zfr5jdnqc8BOwmHA7NIx2gc1HqUD/YgrZxWj4hUz&#10;HGOXlAc3Cueh3y+4tLhYrZIZDrtl4crcWx7BI8GxqR+6R+bs0PkBZ+Yaxplni1cD0NtGTwOrbQDZ&#10;pOl44nWgHhdF6uNhqcVN9FxOVk+rd/kbAAD//wMAUEsDBBQABgAIAAAAIQAKXcnF3QAAAAYBAAAP&#10;AAAAZHJzL2Rvd25yZXYueG1sTI5NT8MwEETvSPwHa5G4Uaet+pGQTYVAIHFCbQGpNzde4oh4ncZu&#10;mv573FM5jmb05uWrwTaip87XjhHGowQEcel0zRXC5/b1YQnCB8VaNY4J4UweVsXtTa4y7U68pn4T&#10;KhEh7DOFYEJoMyl9acgqP3Itcex+XGdViLGrpO7UKcJtIydJMpdW1RwfjGrp2VD5uzlahOTjayG/&#10;F7v14f2wpaV5m51f+h3i/d3w9Agi0BCuY7joR3UootPeHVl70URG3CHMpyAu5XiSzkDsEdJ0CrLI&#10;5X/94g8AAP//AwBQSwECLQAUAAYACAAAACEAtoM4kv4AAADhAQAAEwAAAAAAAAAAAAAAAAAAAAAA&#10;W0NvbnRlbnRfVHlwZXNdLnhtbFBLAQItABQABgAIAAAAIQA4/SH/1gAAAJQBAAALAAAAAAAAAAAA&#10;AAAAAC8BAABfcmVscy8ucmVsc1BLAQItABQABgAIAAAAIQA4Lh7WqgIAAMIFAAAOAAAAAAAAAAAA&#10;AAAAAC4CAABkcnMvZTJvRG9jLnhtbFBLAQItABQABgAIAAAAIQAKXcnF3QAAAAYBAAAPAAAAAAAA&#10;AAAAAAAAAAQFAABkcnMvZG93bnJldi54bWxQSwUGAAAAAAQABADzAAAADgYAAAAA&#10;" fillcolor="#c6d9f1 [671]" strokecolor="#243f60 [1604]">
                <v:textbox>
                  <w:txbxContent>
                    <w:p w14:paraId="3D015F86" w14:textId="3DBA556A" w:rsidR="007471E2" w:rsidRPr="00010E4F" w:rsidRDefault="007471E2" w:rsidP="007471E2">
                      <w:pPr>
                        <w:spacing w:after="0" w:line="240" w:lineRule="auto"/>
                        <w:jc w:val="center"/>
                        <w:rPr>
                          <w:rFonts w:ascii="Calibri" w:eastAsia="Times New Roman" w:hAnsi="Calibri" w:cs="Arial"/>
                          <w:b/>
                          <w:bCs/>
                          <w:color w:val="FFFFFF" w:themeColor="background1"/>
                          <w:sz w:val="32"/>
                          <w:szCs w:val="32"/>
                        </w:rPr>
                      </w:pPr>
                      <w:r w:rsidRPr="00010E4F">
                        <w:rPr>
                          <w:rFonts w:ascii="Calibri" w:eastAsia="Times New Roman" w:hAnsi="Calibri" w:cs="Arial"/>
                          <w:b/>
                          <w:bCs/>
                          <w:color w:val="FFFFFF" w:themeColor="background1"/>
                          <w:sz w:val="32"/>
                          <w:szCs w:val="32"/>
                        </w:rPr>
                        <w:t xml:space="preserve">Progress Report from April to December 2016 </w:t>
                      </w:r>
                    </w:p>
                    <w:p w14:paraId="306B8E5D" w14:textId="77777777" w:rsidR="00010E4F" w:rsidRPr="00010E4F" w:rsidRDefault="00010E4F" w:rsidP="00010E4F">
                      <w:pPr>
                        <w:spacing w:after="0" w:line="240" w:lineRule="auto"/>
                        <w:jc w:val="center"/>
                        <w:rPr>
                          <w:rFonts w:ascii="Calibri" w:eastAsia="Times New Roman" w:hAnsi="Calibri" w:cs="Arial"/>
                          <w:b/>
                          <w:bCs/>
                          <w:color w:val="0070C0"/>
                          <w:sz w:val="32"/>
                          <w:szCs w:val="32"/>
                        </w:rPr>
                      </w:pPr>
                      <w:r w:rsidRPr="00010E4F">
                        <w:rPr>
                          <w:rFonts w:ascii="Calibri" w:eastAsia="Times New Roman" w:hAnsi="Calibri" w:cs="Arial"/>
                          <w:b/>
                          <w:bCs/>
                          <w:color w:val="0070C0"/>
                          <w:sz w:val="32"/>
                          <w:szCs w:val="32"/>
                        </w:rPr>
                        <w:t>IASC Reference Group on Protracted Internal Displacement</w:t>
                      </w:r>
                    </w:p>
                    <w:p w14:paraId="12ED5815" w14:textId="77777777" w:rsidR="007471E2" w:rsidRPr="00D064C8" w:rsidRDefault="007471E2" w:rsidP="007471E2">
                      <w:pPr>
                        <w:jc w:val="center"/>
                        <w:rPr>
                          <w:color w:val="0070C0"/>
                        </w:rPr>
                      </w:pPr>
                    </w:p>
                  </w:txbxContent>
                </v:textbox>
                <w10:wrap anchorx="margin"/>
              </v:rect>
            </w:pict>
          </mc:Fallback>
        </mc:AlternateContent>
      </w:r>
      <w:r w:rsidR="00843D0A">
        <w:rPr>
          <w:rFonts w:ascii="Calibri" w:eastAsia="Times New Roman" w:hAnsi="Calibri" w:cs="Arial"/>
          <w:b/>
          <w:bCs/>
          <w:color w:val="004080"/>
          <w:sz w:val="28"/>
          <w:szCs w:val="28"/>
        </w:rPr>
        <w:t xml:space="preserve"> </w:t>
      </w:r>
    </w:p>
    <w:p w14:paraId="08710A3A" w14:textId="46236F74" w:rsidR="00296ED4" w:rsidRDefault="00296ED4" w:rsidP="00843D0A">
      <w:pPr>
        <w:spacing w:after="0" w:line="240" w:lineRule="auto"/>
        <w:jc w:val="center"/>
        <w:rPr>
          <w:rFonts w:ascii="Calibri" w:eastAsia="Times New Roman" w:hAnsi="Calibri" w:cs="Arial"/>
          <w:b/>
          <w:bCs/>
          <w:color w:val="004080"/>
          <w:sz w:val="28"/>
          <w:szCs w:val="28"/>
        </w:rPr>
      </w:pPr>
    </w:p>
    <w:p w14:paraId="08710A3B" w14:textId="64315318" w:rsidR="0085764A" w:rsidRDefault="00D064C8" w:rsidP="001F0AA8">
      <w:pPr>
        <w:spacing w:after="0" w:line="240" w:lineRule="auto"/>
        <w:jc w:val="center"/>
        <w:rPr>
          <w:lang w:val="en-US"/>
        </w:rPr>
      </w:pPr>
      <w:r>
        <w:rPr>
          <w:rFonts w:ascii="Calibri" w:eastAsia="Times New Roman" w:hAnsi="Calibri" w:cs="Arial"/>
          <w:b/>
          <w:bCs/>
          <w:noProof/>
          <w:color w:val="004080"/>
          <w:lang w:eastAsia="zh-CN"/>
        </w:rPr>
        <mc:AlternateContent>
          <mc:Choice Requires="wps">
            <w:drawing>
              <wp:anchor distT="0" distB="0" distL="114300" distR="114300" simplePos="0" relativeHeight="251661312" behindDoc="0" locked="0" layoutInCell="1" allowOverlap="1" wp14:anchorId="374E947D" wp14:editId="7ED479DC">
                <wp:simplePos x="0" y="0"/>
                <wp:positionH relativeFrom="margin">
                  <wp:align>left</wp:align>
                </wp:positionH>
                <wp:positionV relativeFrom="paragraph">
                  <wp:posOffset>224790</wp:posOffset>
                </wp:positionV>
                <wp:extent cx="7181850" cy="1390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181850" cy="1390650"/>
                        </a:xfrm>
                        <a:prstGeom prst="rect">
                          <a:avLst/>
                        </a:prstGeom>
                        <a:solidFill>
                          <a:schemeClr val="accent6">
                            <a:lumMod val="20000"/>
                            <a:lumOff val="80000"/>
                          </a:schemeClr>
                        </a:solidFill>
                        <a:ln w="952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BD2DC" w14:textId="77777777" w:rsidR="007471E2" w:rsidRPr="00010E4F" w:rsidRDefault="007471E2" w:rsidP="00D064C8">
                            <w:pPr>
                              <w:spacing w:after="0" w:line="240" w:lineRule="auto"/>
                              <w:jc w:val="center"/>
                              <w:rPr>
                                <w:rFonts w:eastAsia="Times New Roman" w:cs="Arial"/>
                                <w:b/>
                                <w:bCs/>
                                <w:color w:val="E36C0A" w:themeColor="accent6" w:themeShade="BF"/>
                                <w:sz w:val="28"/>
                                <w:szCs w:val="28"/>
                              </w:rPr>
                            </w:pPr>
                            <w:r w:rsidRPr="00010E4F">
                              <w:rPr>
                                <w:rFonts w:eastAsia="Times New Roman" w:cs="Arial"/>
                                <w:b/>
                                <w:bCs/>
                                <w:color w:val="E36C0A" w:themeColor="accent6" w:themeShade="BF"/>
                                <w:sz w:val="28"/>
                                <w:szCs w:val="28"/>
                              </w:rPr>
                              <w:t>Objectives (overview)</w:t>
                            </w:r>
                          </w:p>
                          <w:p w14:paraId="31216664" w14:textId="77777777" w:rsidR="007471E2" w:rsidRPr="00290CFA" w:rsidRDefault="007471E2" w:rsidP="00290CFA">
                            <w:pPr>
                              <w:jc w:val="both"/>
                              <w:rPr>
                                <w:color w:val="0F243E" w:themeColor="text2" w:themeShade="80"/>
                                <w:sz w:val="18"/>
                                <w:szCs w:val="18"/>
                              </w:rPr>
                            </w:pPr>
                            <w:r w:rsidRPr="00290CFA">
                              <w:rPr>
                                <w:color w:val="0F243E" w:themeColor="text2" w:themeShade="80"/>
                                <w:sz w:val="18"/>
                                <w:szCs w:val="18"/>
                              </w:rPr>
                              <w:t>The Reference Group on Protracted Displacements is focused on producing policy guidance on operating in internal displacement contexts, with an emphasis on responses that ensure the visibility of IDPs in protracted situations until they have found solutions and that support their inclusion in national systems and in peace and development programming.</w:t>
                            </w:r>
                          </w:p>
                          <w:p w14:paraId="6961C7EB" w14:textId="77777777" w:rsidR="007471E2" w:rsidRPr="00290CFA" w:rsidRDefault="007471E2" w:rsidP="00290CFA">
                            <w:pPr>
                              <w:jc w:val="both"/>
                              <w:rPr>
                                <w:color w:val="0F243E" w:themeColor="text2" w:themeShade="80"/>
                                <w:sz w:val="18"/>
                                <w:szCs w:val="18"/>
                              </w:rPr>
                            </w:pPr>
                            <w:r w:rsidRPr="00290CFA">
                              <w:rPr>
                                <w:color w:val="0F243E" w:themeColor="text2" w:themeShade="80"/>
                                <w:sz w:val="18"/>
                                <w:szCs w:val="18"/>
                              </w:rPr>
                              <w:t xml:space="preserve">Building on research and analysis by several independent thought leaders and studies commissioned by members, the Reference Group will collaborate in 2017 with development and peacebuilding coordination bodies on practical and consistent guidance applicable to all international actors engaging in IDP situations, so as to improve the predictability and cohesiveness of responses and inclusive service provision throughout the displacement cycle. </w:t>
                            </w:r>
                          </w:p>
                          <w:p w14:paraId="7FA65649" w14:textId="77777777" w:rsidR="007471E2" w:rsidRDefault="007471E2" w:rsidP="007471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E947D" id="Rectangle 3" o:spid="_x0000_s1027" style="position:absolute;left:0;text-align:left;margin-left:0;margin-top:17.7pt;width:565.5pt;height:10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QZxgIAAEIGAAAOAAAAZHJzL2Uyb0RvYy54bWysVMlu2zAQvRfoPxC8N5Ic23GEyIGRIEWB&#10;NAmyIGeaIi0BFMmStCX36zskJcVZmkPRi8TZ3gwfZ+bsvGsE2jFjayULnB2lGDFJVVnLTYGfHq++&#10;LTCyjsiSCCVZgffM4vPl1y9nrc7ZRFVKlMwgAJE2b3WBK+d0niSWVqwh9khpJsHIlWmIA9FsktKQ&#10;FtAbkUzSdJ60ypTaKMqsBe1lNOJlwOecUXfLuWUOiQJDbS58Tfiu/TdZnpF8Y4iuatqXQf6hiobU&#10;EpKOUJfEEbQ19TuopqZGWcXdEVVNojivKQt3gNtk6ZvbPFREs3AXIMfqkSb7/2Dpze7OoLos8DFG&#10;kjTwRPdAGpEbwdCxp6fVNgevB31nesnC0d+146bxf7gF6gKl+5FS1jlEQXmSLbLFDJinYMuOT9M5&#10;CICTvIRrY913phrkDwU2kD5QSXbX1kXXwcVns0rU5VUtRBB8n7ALYdCOwAsTSpl08xAuts1PVUY9&#10;dEravzWooSOiejGooZrQcR4p1PYqiZCoLfDpbDILwK9sY1hEdN3kXfLpkIXkh8nng/qz5GATEiry&#10;jxBpDye3F8xfX8h7xuH1gOiY9005kY8sll2RksUqZ39NHQA9MgeCR+we4COus/4xe38fysLYjcFp&#10;zP5Z8BgRMivpxuCmlsp8BCDcmDn6DyRFajxLrlt3obODp9esVbmHbjcqrgGr6VUNPXdNrLsjBuYe&#10;+hR2mbuFDxcKHl31J4wqZX5/pPf+MI5gxaiFPVJg+2tLDMNI/JAwqKfZdOoXTxCms5MJCObQsj60&#10;yG1zoaCRM9iamoaj93diOHKjmmdYeSufFUxEUshdYOrMIFy4uN9gaVK2WgU3WDaauGv5oKkH9zz7&#10;mXrsnonR/eA5mNkbNewckr+Zv+jrI6VabZ3idRjOF177F4BFFUaoX6p+Ex7Kwetl9S//AAAA//8D&#10;AFBLAwQUAAYACAAAACEAzG0shOAAAAAIAQAADwAAAGRycy9kb3ducmV2LnhtbEyPwU7DMBBE70j8&#10;g7VIXBB1kiYIhWwqVIlDVYrUwAdsY5NEjddR7DaBr8c90ePsrGbeFKvZ9OKsR9dZRogXEQjNtVUd&#10;Nwhfn2+PzyCcJ1bUW9YIP9rBqry9KShXduK9Ple+ESGEXU4IrfdDLqWrW23ILeygOXjfdjTkgxwb&#10;qUaaQrjpZRJFT9JQx6GhpUGvW10fq5NBGI67j80u2/YT7bcPm6Sq0/XvO+L93fz6AsLr2f8/wwU/&#10;oEMZmA72xMqJHiEM8QjLLAVxceNlHC4HhCRLU5BlIa8HlH8AAAD//wMAUEsBAi0AFAAGAAgAAAAh&#10;ALaDOJL+AAAA4QEAABMAAAAAAAAAAAAAAAAAAAAAAFtDb250ZW50X1R5cGVzXS54bWxQSwECLQAU&#10;AAYACAAAACEAOP0h/9YAAACUAQAACwAAAAAAAAAAAAAAAAAvAQAAX3JlbHMvLnJlbHNQSwECLQAU&#10;AAYACAAAACEAtUukGcYCAABCBgAADgAAAAAAAAAAAAAAAAAuAgAAZHJzL2Uyb0RvYy54bWxQSwEC&#10;LQAUAAYACAAAACEAzG0shOAAAAAIAQAADwAAAAAAAAAAAAAAAAAgBQAAZHJzL2Rvd25yZXYueG1s&#10;UEsFBgAAAAAEAAQA8wAAAC0GAAAAAA==&#10;" fillcolor="#fde9d9 [665]" strokecolor="#8db3e2 [1311]">
                <v:textbox>
                  <w:txbxContent>
                    <w:p w14:paraId="0CEBD2DC" w14:textId="77777777" w:rsidR="007471E2" w:rsidRPr="00010E4F" w:rsidRDefault="007471E2" w:rsidP="00D064C8">
                      <w:pPr>
                        <w:spacing w:after="0" w:line="240" w:lineRule="auto"/>
                        <w:jc w:val="center"/>
                        <w:rPr>
                          <w:rFonts w:eastAsia="Times New Roman" w:cs="Arial"/>
                          <w:b/>
                          <w:bCs/>
                          <w:color w:val="E36C0A" w:themeColor="accent6" w:themeShade="BF"/>
                          <w:sz w:val="28"/>
                          <w:szCs w:val="28"/>
                        </w:rPr>
                      </w:pPr>
                      <w:r w:rsidRPr="00010E4F">
                        <w:rPr>
                          <w:rFonts w:eastAsia="Times New Roman" w:cs="Arial"/>
                          <w:b/>
                          <w:bCs/>
                          <w:color w:val="E36C0A" w:themeColor="accent6" w:themeShade="BF"/>
                          <w:sz w:val="28"/>
                          <w:szCs w:val="28"/>
                        </w:rPr>
                        <w:t>Objectives (overview)</w:t>
                      </w:r>
                    </w:p>
                    <w:p w14:paraId="31216664" w14:textId="77777777" w:rsidR="007471E2" w:rsidRPr="00290CFA" w:rsidRDefault="007471E2" w:rsidP="00290CFA">
                      <w:pPr>
                        <w:jc w:val="both"/>
                        <w:rPr>
                          <w:color w:val="0F243E" w:themeColor="text2" w:themeShade="80"/>
                          <w:sz w:val="18"/>
                          <w:szCs w:val="18"/>
                        </w:rPr>
                      </w:pPr>
                      <w:r w:rsidRPr="00290CFA">
                        <w:rPr>
                          <w:color w:val="0F243E" w:themeColor="text2" w:themeShade="80"/>
                          <w:sz w:val="18"/>
                          <w:szCs w:val="18"/>
                        </w:rPr>
                        <w:t>The Reference Group on Protracted Displacements is focused on producing policy guidance on operating in internal displacement contexts, with an emphasis on responses that ensure the visibility of IDPs in protracted situations until they have found solutions and that support their inclusion in national systems and in peace and development programming.</w:t>
                      </w:r>
                    </w:p>
                    <w:p w14:paraId="6961C7EB" w14:textId="77777777" w:rsidR="007471E2" w:rsidRPr="00290CFA" w:rsidRDefault="007471E2" w:rsidP="00290CFA">
                      <w:pPr>
                        <w:jc w:val="both"/>
                        <w:rPr>
                          <w:color w:val="0F243E" w:themeColor="text2" w:themeShade="80"/>
                          <w:sz w:val="18"/>
                          <w:szCs w:val="18"/>
                        </w:rPr>
                      </w:pPr>
                      <w:r w:rsidRPr="00290CFA">
                        <w:rPr>
                          <w:color w:val="0F243E" w:themeColor="text2" w:themeShade="80"/>
                          <w:sz w:val="18"/>
                          <w:szCs w:val="18"/>
                        </w:rPr>
                        <w:t xml:space="preserve">Building on research and analysis by several independent thought leaders and studies commissioned by members, the Reference Group will collaborate in 2017 with development and peacebuilding coordination bodies on practical and consistent guidance applicable to all international actors engaging in IDP situations, so as to improve the predictability and cohesiveness of responses and inclusive service provision throughout the displacement cycle. </w:t>
                      </w:r>
                    </w:p>
                    <w:p w14:paraId="7FA65649" w14:textId="77777777" w:rsidR="007471E2" w:rsidRDefault="007471E2" w:rsidP="007471E2">
                      <w:pPr>
                        <w:jc w:val="center"/>
                      </w:pPr>
                    </w:p>
                  </w:txbxContent>
                </v:textbox>
                <w10:wrap anchorx="margin"/>
              </v:rect>
            </w:pict>
          </mc:Fallback>
        </mc:AlternateContent>
      </w:r>
      <w:r w:rsidR="00AC7B6D" w:rsidRPr="000749BB">
        <w:rPr>
          <w:rFonts w:eastAsia="Times New Roman" w:cs="Times New Roman"/>
          <w:color w:val="548DD4" w:themeColor="text2" w:themeTint="99"/>
          <w:lang w:eastAsia="en-GB"/>
        </w:rPr>
        <w:br/>
      </w:r>
    </w:p>
    <w:p w14:paraId="08710A3C" w14:textId="37C38E28" w:rsidR="001F0AA8" w:rsidRDefault="001F0AA8" w:rsidP="001F0AA8">
      <w:pPr>
        <w:spacing w:after="0" w:line="240" w:lineRule="auto"/>
        <w:jc w:val="both"/>
        <w:rPr>
          <w:rFonts w:ascii="Calibri" w:eastAsia="Calibri" w:hAnsi="Calibri" w:cs="Times New Roman"/>
          <w:b/>
          <w:smallCaps/>
          <w:color w:val="1F497D"/>
          <w:sz w:val="28"/>
          <w:szCs w:val="28"/>
        </w:rPr>
      </w:pPr>
    </w:p>
    <w:p w14:paraId="08710A47" w14:textId="58D5768C" w:rsidR="00590A00" w:rsidRDefault="00590A00" w:rsidP="001F0AA8">
      <w:pPr>
        <w:spacing w:after="0" w:line="240" w:lineRule="auto"/>
        <w:jc w:val="both"/>
        <w:rPr>
          <w:rFonts w:ascii="Calibri" w:eastAsia="Times New Roman" w:hAnsi="Calibri" w:cs="Arial"/>
          <w:bCs/>
          <w:color w:val="004080"/>
        </w:rPr>
      </w:pPr>
    </w:p>
    <w:p w14:paraId="0B821DFD" w14:textId="0A0A58EC" w:rsidR="002663FF" w:rsidRDefault="002663FF" w:rsidP="001F0AA8">
      <w:pPr>
        <w:spacing w:after="0" w:line="240" w:lineRule="auto"/>
        <w:jc w:val="both"/>
        <w:rPr>
          <w:rFonts w:ascii="Calibri" w:eastAsia="Times New Roman" w:hAnsi="Calibri" w:cs="Arial"/>
          <w:bCs/>
          <w:color w:val="004080"/>
        </w:rPr>
      </w:pPr>
    </w:p>
    <w:p w14:paraId="387D0D35" w14:textId="30FEF9E0" w:rsidR="007471E2" w:rsidRDefault="007471E2" w:rsidP="00843D0A">
      <w:pPr>
        <w:spacing w:after="0" w:line="240" w:lineRule="auto"/>
        <w:jc w:val="both"/>
        <w:rPr>
          <w:rFonts w:ascii="Calibri" w:eastAsia="Times New Roman" w:hAnsi="Calibri" w:cs="Arial"/>
          <w:b/>
          <w:bCs/>
          <w:color w:val="004080"/>
        </w:rPr>
      </w:pPr>
    </w:p>
    <w:p w14:paraId="30708A50" w14:textId="4F6D795D" w:rsidR="007471E2" w:rsidRDefault="007471E2" w:rsidP="00843D0A">
      <w:pPr>
        <w:spacing w:after="0" w:line="240" w:lineRule="auto"/>
        <w:jc w:val="both"/>
        <w:rPr>
          <w:rFonts w:ascii="Calibri" w:eastAsia="Times New Roman" w:hAnsi="Calibri" w:cs="Arial"/>
          <w:b/>
          <w:bCs/>
          <w:color w:val="004080"/>
        </w:rPr>
      </w:pPr>
    </w:p>
    <w:p w14:paraId="6876F3A8" w14:textId="251085D8" w:rsidR="007471E2" w:rsidRDefault="007471E2" w:rsidP="00843D0A">
      <w:pPr>
        <w:spacing w:after="0" w:line="240" w:lineRule="auto"/>
        <w:jc w:val="both"/>
        <w:rPr>
          <w:rFonts w:ascii="Calibri" w:eastAsia="Times New Roman" w:hAnsi="Calibri" w:cs="Arial"/>
          <w:b/>
          <w:bCs/>
          <w:color w:val="004080"/>
        </w:rPr>
      </w:pPr>
    </w:p>
    <w:p w14:paraId="366E50A5" w14:textId="216A50C6" w:rsidR="007471E2" w:rsidRDefault="007471E2" w:rsidP="00843D0A">
      <w:pPr>
        <w:spacing w:after="0" w:line="240" w:lineRule="auto"/>
        <w:jc w:val="both"/>
        <w:rPr>
          <w:rFonts w:ascii="Calibri" w:eastAsia="Times New Roman" w:hAnsi="Calibri" w:cs="Arial"/>
          <w:b/>
          <w:bCs/>
          <w:color w:val="004080"/>
        </w:rPr>
      </w:pPr>
    </w:p>
    <w:p w14:paraId="411890E6" w14:textId="7F051DED" w:rsidR="007471E2" w:rsidRDefault="00010E4F" w:rsidP="00843D0A">
      <w:pPr>
        <w:spacing w:after="0" w:line="240" w:lineRule="auto"/>
        <w:jc w:val="both"/>
        <w:rPr>
          <w:rFonts w:ascii="Calibri" w:eastAsia="Times New Roman" w:hAnsi="Calibri" w:cs="Arial"/>
          <w:b/>
          <w:bCs/>
          <w:color w:val="004080"/>
        </w:rPr>
      </w:pPr>
      <w:r>
        <w:rPr>
          <w:rFonts w:ascii="Calibri" w:eastAsia="Times New Roman" w:hAnsi="Calibri" w:cs="Arial"/>
          <w:b/>
          <w:bCs/>
          <w:noProof/>
          <w:color w:val="004080"/>
          <w:lang w:eastAsia="zh-CN"/>
        </w:rPr>
        <mc:AlternateContent>
          <mc:Choice Requires="wps">
            <w:drawing>
              <wp:anchor distT="0" distB="0" distL="114300" distR="114300" simplePos="0" relativeHeight="251662336" behindDoc="0" locked="0" layoutInCell="1" allowOverlap="1" wp14:anchorId="36CC69E4" wp14:editId="5D796DE8">
                <wp:simplePos x="0" y="0"/>
                <wp:positionH relativeFrom="margin">
                  <wp:align>right</wp:align>
                </wp:positionH>
                <wp:positionV relativeFrom="paragraph">
                  <wp:posOffset>80645</wp:posOffset>
                </wp:positionV>
                <wp:extent cx="7153275" cy="2400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153275" cy="2400300"/>
                        </a:xfrm>
                        <a:prstGeom prst="rect">
                          <a:avLst/>
                        </a:prstGeom>
                        <a:solidFill>
                          <a:schemeClr val="bg1"/>
                        </a:solid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8B919" w14:textId="04E1EBF9" w:rsidR="00384FFB" w:rsidRPr="003E60ED" w:rsidRDefault="004B3A84" w:rsidP="00384FFB">
                            <w:pPr>
                              <w:spacing w:after="0" w:line="240" w:lineRule="auto"/>
                              <w:jc w:val="center"/>
                              <w:rPr>
                                <w:rFonts w:ascii="Calibri" w:eastAsia="Times New Roman" w:hAnsi="Calibri" w:cs="Arial"/>
                                <w:b/>
                                <w:bCs/>
                                <w:color w:val="E36C0A" w:themeColor="accent6" w:themeShade="BF"/>
                              </w:rPr>
                            </w:pPr>
                            <w:r w:rsidRPr="003E60ED">
                              <w:rPr>
                                <w:rFonts w:ascii="Calibri" w:eastAsia="Times New Roman" w:hAnsi="Calibri" w:cs="Arial"/>
                                <w:b/>
                                <w:bCs/>
                                <w:color w:val="E36C0A" w:themeColor="accent6" w:themeShade="BF"/>
                              </w:rPr>
                              <w:t>Key Achievements/Products/Outputs in Reporting Period</w:t>
                            </w:r>
                          </w:p>
                          <w:p w14:paraId="1123CCEC" w14:textId="77777777" w:rsidR="00290CFA" w:rsidRPr="00290CFA" w:rsidRDefault="004B3A84" w:rsidP="00384FFB">
                            <w:pPr>
                              <w:pStyle w:val="ListParagraph"/>
                              <w:numPr>
                                <w:ilvl w:val="0"/>
                                <w:numId w:val="5"/>
                              </w:numPr>
                              <w:spacing w:after="0" w:line="240" w:lineRule="auto"/>
                              <w:ind w:left="357" w:hanging="357"/>
                              <w:jc w:val="both"/>
                              <w:rPr>
                                <w:color w:val="0F243E" w:themeColor="text2" w:themeShade="80"/>
                                <w:sz w:val="18"/>
                                <w:szCs w:val="18"/>
                              </w:rPr>
                            </w:pPr>
                            <w:r w:rsidRPr="00290CFA">
                              <w:rPr>
                                <w:color w:val="0F243E" w:themeColor="text2" w:themeShade="80"/>
                                <w:sz w:val="18"/>
                                <w:szCs w:val="18"/>
                              </w:rPr>
                              <w:t>Agreement on a role and objectives for the Reference Group that would fill an identifiable need without conflicting with the work of other entities;</w:t>
                            </w:r>
                          </w:p>
                          <w:p w14:paraId="3FA81161" w14:textId="25792AD0" w:rsidR="004B3A84" w:rsidRPr="00290CFA" w:rsidRDefault="004B3A84" w:rsidP="00384FFB">
                            <w:pPr>
                              <w:pStyle w:val="ListParagraph"/>
                              <w:numPr>
                                <w:ilvl w:val="0"/>
                                <w:numId w:val="5"/>
                              </w:numPr>
                              <w:spacing w:after="0" w:line="240" w:lineRule="auto"/>
                              <w:ind w:left="357" w:hanging="357"/>
                              <w:jc w:val="both"/>
                              <w:rPr>
                                <w:color w:val="0F243E" w:themeColor="text2" w:themeShade="80"/>
                                <w:sz w:val="18"/>
                                <w:szCs w:val="18"/>
                              </w:rPr>
                            </w:pPr>
                            <w:r w:rsidRPr="00290CFA">
                              <w:rPr>
                                <w:color w:val="0F243E" w:themeColor="text2" w:themeShade="80"/>
                                <w:sz w:val="18"/>
                                <w:szCs w:val="18"/>
                              </w:rPr>
                              <w:t>Agreement with the Reference Group on the Humanitarian and Development Nexus, and with development and peacebuilding actors and coordinating bodies, that guidance should speak to greater collaboration between States and international actors and between humanitarian, development and peacebuilding actors in addressing protracted IDP situations and should be issued jointly by the IASC and other peak bodies;</w:t>
                            </w:r>
                          </w:p>
                          <w:p w14:paraId="2DAF98B2" w14:textId="77777777" w:rsidR="004B3A84" w:rsidRPr="00290CFA" w:rsidRDefault="004B3A84" w:rsidP="00384FFB">
                            <w:pPr>
                              <w:pStyle w:val="ListParagraph"/>
                              <w:numPr>
                                <w:ilvl w:val="0"/>
                                <w:numId w:val="5"/>
                              </w:numPr>
                              <w:spacing w:after="0" w:line="240" w:lineRule="auto"/>
                              <w:ind w:left="357" w:hanging="357"/>
                              <w:jc w:val="both"/>
                              <w:rPr>
                                <w:color w:val="0F243E" w:themeColor="text2" w:themeShade="80"/>
                                <w:sz w:val="18"/>
                                <w:szCs w:val="18"/>
                              </w:rPr>
                            </w:pPr>
                            <w:r w:rsidRPr="00290CFA">
                              <w:rPr>
                                <w:color w:val="0F243E" w:themeColor="text2" w:themeShade="80"/>
                                <w:sz w:val="18"/>
                                <w:szCs w:val="18"/>
                              </w:rPr>
                              <w:t xml:space="preserve">Agreement with OCHA that the study commissioned on the topic of </w:t>
                            </w:r>
                            <w:r w:rsidRPr="00290CFA">
                              <w:rPr>
                                <w:i/>
                                <w:color w:val="0F243E" w:themeColor="text2" w:themeShade="80"/>
                                <w:sz w:val="18"/>
                                <w:szCs w:val="18"/>
                              </w:rPr>
                              <w:t>Protracted Internal Displacement</w:t>
                            </w:r>
                            <w:r w:rsidRPr="00290CFA">
                              <w:rPr>
                                <w:color w:val="0F243E" w:themeColor="text2" w:themeShade="80"/>
                                <w:sz w:val="18"/>
                                <w:szCs w:val="18"/>
                              </w:rPr>
                              <w:t xml:space="preserve"> undertaken by Walter Kälin, the former Special Rapporteur on the Human Rights of IDPs, and Hannah Entwisle Chapuisat, from September 2016 to January 2017, with contributions from several members of the IASC Reference Group would provide the foundation for the development of the operational guidance; </w:t>
                            </w:r>
                          </w:p>
                          <w:p w14:paraId="4481B211" w14:textId="77777777" w:rsidR="004B3A84" w:rsidRPr="00290CFA" w:rsidRDefault="004B3A84" w:rsidP="00384FFB">
                            <w:pPr>
                              <w:pStyle w:val="ListParagraph"/>
                              <w:numPr>
                                <w:ilvl w:val="0"/>
                                <w:numId w:val="5"/>
                              </w:numPr>
                              <w:spacing w:after="0" w:line="240" w:lineRule="auto"/>
                              <w:ind w:left="357" w:hanging="357"/>
                              <w:jc w:val="both"/>
                              <w:rPr>
                                <w:color w:val="0F243E" w:themeColor="text2" w:themeShade="80"/>
                                <w:sz w:val="18"/>
                                <w:szCs w:val="18"/>
                              </w:rPr>
                            </w:pPr>
                            <w:r w:rsidRPr="00290CFA">
                              <w:rPr>
                                <w:color w:val="0F243E" w:themeColor="text2" w:themeShade="80"/>
                                <w:sz w:val="18"/>
                                <w:szCs w:val="18"/>
                              </w:rPr>
                              <w:t>The Study identified protracted internal displacement as a key humanitarian, development and peacebuilding challenge; it contributed to conceptualizing protracted internal displacement building on different notions; it consolidated understanding on the causes and impacts of protracted internal displacement; it identified: the need to achieve common agreements on collective outcomes to be pursued, challenges in forging partnerships, effective practices to address protracted internal displacement, based on the context and responses in five protracted situations;</w:t>
                            </w:r>
                          </w:p>
                          <w:p w14:paraId="3E990201" w14:textId="77777777" w:rsidR="004B3A84" w:rsidRPr="00290CFA" w:rsidRDefault="004B3A84" w:rsidP="00384FFB">
                            <w:pPr>
                              <w:pStyle w:val="ListParagraph"/>
                              <w:numPr>
                                <w:ilvl w:val="0"/>
                                <w:numId w:val="5"/>
                              </w:numPr>
                              <w:spacing w:after="0" w:line="240" w:lineRule="auto"/>
                              <w:ind w:left="357" w:hanging="357"/>
                              <w:jc w:val="both"/>
                              <w:rPr>
                                <w:color w:val="0F243E" w:themeColor="text2" w:themeShade="80"/>
                                <w:sz w:val="18"/>
                                <w:szCs w:val="18"/>
                              </w:rPr>
                            </w:pPr>
                            <w:r w:rsidRPr="00290CFA">
                              <w:rPr>
                                <w:color w:val="0F243E" w:themeColor="text2" w:themeShade="80"/>
                                <w:sz w:val="18"/>
                                <w:szCs w:val="18"/>
                              </w:rPr>
                              <w:t>The identification of experts and fundraising to conduct baseline research into less visible population and how different actors have contributed to their finding solutions, as a complement to the Kälin study (The Institute of International and Development Studies at the Graduate Institute of Geneva, expected September 2017).</w:t>
                            </w:r>
                            <w:bookmarkStart w:id="0" w:name="_GoBack"/>
                            <w:bookmarkEnd w:id="0"/>
                          </w:p>
                          <w:p w14:paraId="44E750F3" w14:textId="77777777" w:rsidR="004B3A84" w:rsidRPr="004B3A84" w:rsidRDefault="004B3A84" w:rsidP="004B3A84">
                            <w:pPr>
                              <w:jc w:val="center"/>
                              <w:rPr>
                                <w:color w:val="0F243E" w:themeColor="text2" w:themeShade="8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C69E4" id="Rectangle 4" o:spid="_x0000_s1028" style="position:absolute;left:0;text-align:left;margin-left:512.05pt;margin-top:6.35pt;width:563.25pt;height:18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1VwAIAAAMGAAAOAAAAZHJzL2Uyb0RvYy54bWysVEtv2zAMvg/YfxB0X+24SbsFdYqgRYcB&#10;XVu0HXpWZCk2IIuapMTOfv0oyXGa7nEYloMi8fGR/Ezy4rJvFdkK6xrQJZ2c5JQIzaFq9Lqk355v&#10;PnykxHmmK6ZAi5LuhKOXi/fvLjozFwXUoCphCYJoN+9MSWvvzTzLHK9Fy9wJGKFRKcG2zOPTrrPK&#10;sg7RW5UVeX6WdWArY4EL51B6nZR0EfGlFNzfS+mEJ6qkmJuPp43nKpzZ4oLN15aZuuFDGuwfsmhZ&#10;ozHoCHXNPCMb2/wC1TbcggPpTzi0GUjZcBFrwGom+ZtqnmpmRKwFyXFmpMn9P1h+t32wpKlKOqVE&#10;sxY/0SOSxvRaCTIN9HTGzdHqyTzY4eXwGmrtpW3DP1ZB+kjpbqRU9J5wFJ5PZqfF+YwSjrpimuen&#10;eSQ9O7gb6/xnAS0Jl5JaDB+pZNtb5zEkmu5NQjQHqqluGqXiI/SJuFKWbBl+4dV6ElJGjyMrpUlX&#10;0rPTWR6Bj3Sx0w4Ivi+ijdq0X6FKqGc5/lKnoBj7KYmxmLGWEeVtcExFaRQGFhNv8eZ3SoT8lX4U&#10;EulHplLcESjFYJwL7Scp7ZpVIolnfwwdAQOyRIZG7AHgmKw9diJssA+uIs7N6DyQ9jfn0SNGBu1H&#10;57bRYFP6xwAKqxoiJ/s9SYmawJLvV31szSJYBskKqh22q4U0x87wmwab5pY5/8AsDi6OOC4jf4+H&#10;VIAfHYYbJTXYH7+TB3ucJ9RS0uEiKKn7vmFWUKK+aJy0T5PpNGyO+JjOzgt82Nea1WuN3rRXgJ04&#10;wbVneLwGe6/2V2mhfcGdtQxRUcU0x9gl5d7uH1c+LSjcelwsl9EMt4Vh/lY/GR7AA89hKJ77F2bN&#10;MDkeh+4O9kuDzd8MULINnhqWGw+yidN14HX4ArhpYhcPWzGsstfvaHXY3YufAAAA//8DAFBLAwQU&#10;AAYACAAAACEAhsdjqtwAAAAIAQAADwAAAGRycy9kb3ducmV2LnhtbEyPwU7DMBBE70j8g7VI3Kid&#10;QBsIcSqExA0OhHJ3420SGq8j220DX8/2BMfdGc28qdazG8URQxw8acgWCgRS6+1AnYbNx8vNPYiY&#10;DFkzekIN3xhhXV9eVKa0/kTveGxSJziEYmk09ClNpZSx7dGZuPATEms7H5xJfIZO2mBOHO5GmSu1&#10;ks4MxA29mfC5x3bfHByX7NI070m9TWGZvd59Nl/NpvjR+vpqfnoEkXBOf2Y44zM61My09QeyUYwa&#10;eEjib16AOKtZvlqC2Gq4fVAFyLqS/wfUvwAAAP//AwBQSwECLQAUAAYACAAAACEAtoM4kv4AAADh&#10;AQAAEwAAAAAAAAAAAAAAAAAAAAAAW0NvbnRlbnRfVHlwZXNdLnhtbFBLAQItABQABgAIAAAAIQA4&#10;/SH/1gAAAJQBAAALAAAAAAAAAAAAAAAAAC8BAABfcmVscy8ucmVsc1BLAQItABQABgAIAAAAIQBI&#10;8D1VwAIAAAMGAAAOAAAAAAAAAAAAAAAAAC4CAABkcnMvZTJvRG9jLnhtbFBLAQItABQABgAIAAAA&#10;IQCGx2Oq3AAAAAgBAAAPAAAAAAAAAAAAAAAAABoFAABkcnMvZG93bnJldi54bWxQSwUGAAAAAAQA&#10;BADzAAAAIwYAAAAA&#10;" fillcolor="white [3212]" strokecolor="#548dd4 [1951]" strokeweight=".5pt">
                <v:textbox>
                  <w:txbxContent>
                    <w:p w14:paraId="74F8B919" w14:textId="04E1EBF9" w:rsidR="00384FFB" w:rsidRPr="003E60ED" w:rsidRDefault="004B3A84" w:rsidP="00384FFB">
                      <w:pPr>
                        <w:spacing w:after="0" w:line="240" w:lineRule="auto"/>
                        <w:jc w:val="center"/>
                        <w:rPr>
                          <w:rFonts w:ascii="Calibri" w:eastAsia="Times New Roman" w:hAnsi="Calibri" w:cs="Arial"/>
                          <w:b/>
                          <w:bCs/>
                          <w:color w:val="E36C0A" w:themeColor="accent6" w:themeShade="BF"/>
                        </w:rPr>
                      </w:pPr>
                      <w:r w:rsidRPr="003E60ED">
                        <w:rPr>
                          <w:rFonts w:ascii="Calibri" w:eastAsia="Times New Roman" w:hAnsi="Calibri" w:cs="Arial"/>
                          <w:b/>
                          <w:bCs/>
                          <w:color w:val="E36C0A" w:themeColor="accent6" w:themeShade="BF"/>
                        </w:rPr>
                        <w:t>Key Achievements/Products/Outputs in Reporting Period</w:t>
                      </w:r>
                    </w:p>
                    <w:p w14:paraId="1123CCEC" w14:textId="77777777" w:rsidR="00290CFA" w:rsidRPr="00290CFA" w:rsidRDefault="004B3A84" w:rsidP="00384FFB">
                      <w:pPr>
                        <w:pStyle w:val="ListParagraph"/>
                        <w:numPr>
                          <w:ilvl w:val="0"/>
                          <w:numId w:val="5"/>
                        </w:numPr>
                        <w:spacing w:after="0" w:line="240" w:lineRule="auto"/>
                        <w:ind w:left="357" w:hanging="357"/>
                        <w:jc w:val="both"/>
                        <w:rPr>
                          <w:color w:val="0F243E" w:themeColor="text2" w:themeShade="80"/>
                          <w:sz w:val="18"/>
                          <w:szCs w:val="18"/>
                        </w:rPr>
                      </w:pPr>
                      <w:r w:rsidRPr="00290CFA">
                        <w:rPr>
                          <w:color w:val="0F243E" w:themeColor="text2" w:themeShade="80"/>
                          <w:sz w:val="18"/>
                          <w:szCs w:val="18"/>
                        </w:rPr>
                        <w:t>Agreement on a role and objectives for the Reference Group that would fill an identifiable need without conflicting with the work of other entities;</w:t>
                      </w:r>
                    </w:p>
                    <w:p w14:paraId="3FA81161" w14:textId="25792AD0" w:rsidR="004B3A84" w:rsidRPr="00290CFA" w:rsidRDefault="004B3A84" w:rsidP="00384FFB">
                      <w:pPr>
                        <w:pStyle w:val="ListParagraph"/>
                        <w:numPr>
                          <w:ilvl w:val="0"/>
                          <w:numId w:val="5"/>
                        </w:numPr>
                        <w:spacing w:after="0" w:line="240" w:lineRule="auto"/>
                        <w:ind w:left="357" w:hanging="357"/>
                        <w:jc w:val="both"/>
                        <w:rPr>
                          <w:color w:val="0F243E" w:themeColor="text2" w:themeShade="80"/>
                          <w:sz w:val="18"/>
                          <w:szCs w:val="18"/>
                        </w:rPr>
                      </w:pPr>
                      <w:r w:rsidRPr="00290CFA">
                        <w:rPr>
                          <w:color w:val="0F243E" w:themeColor="text2" w:themeShade="80"/>
                          <w:sz w:val="18"/>
                          <w:szCs w:val="18"/>
                        </w:rPr>
                        <w:t>Agreement with the Reference Group on the Humanitarian and Development Nexus, and with development and peacebuilding actors and coordinating bodies, that guidance should speak to greater collaboration between States and international actors and between humanitarian, development and peacebuilding actors in addressing protracted IDP situations and should be issued jointly by the IASC and other peak bodies;</w:t>
                      </w:r>
                    </w:p>
                    <w:p w14:paraId="2DAF98B2" w14:textId="77777777" w:rsidR="004B3A84" w:rsidRPr="00290CFA" w:rsidRDefault="004B3A84" w:rsidP="00384FFB">
                      <w:pPr>
                        <w:pStyle w:val="ListParagraph"/>
                        <w:numPr>
                          <w:ilvl w:val="0"/>
                          <w:numId w:val="5"/>
                        </w:numPr>
                        <w:spacing w:after="0" w:line="240" w:lineRule="auto"/>
                        <w:ind w:left="357" w:hanging="357"/>
                        <w:jc w:val="both"/>
                        <w:rPr>
                          <w:color w:val="0F243E" w:themeColor="text2" w:themeShade="80"/>
                          <w:sz w:val="18"/>
                          <w:szCs w:val="18"/>
                        </w:rPr>
                      </w:pPr>
                      <w:r w:rsidRPr="00290CFA">
                        <w:rPr>
                          <w:color w:val="0F243E" w:themeColor="text2" w:themeShade="80"/>
                          <w:sz w:val="18"/>
                          <w:szCs w:val="18"/>
                        </w:rPr>
                        <w:t xml:space="preserve">Agreement with OCHA that the study commissioned on the topic of </w:t>
                      </w:r>
                      <w:r w:rsidRPr="00290CFA">
                        <w:rPr>
                          <w:i/>
                          <w:color w:val="0F243E" w:themeColor="text2" w:themeShade="80"/>
                          <w:sz w:val="18"/>
                          <w:szCs w:val="18"/>
                        </w:rPr>
                        <w:t>Protracted Internal Displacement</w:t>
                      </w:r>
                      <w:r w:rsidRPr="00290CFA">
                        <w:rPr>
                          <w:color w:val="0F243E" w:themeColor="text2" w:themeShade="80"/>
                          <w:sz w:val="18"/>
                          <w:szCs w:val="18"/>
                        </w:rPr>
                        <w:t xml:space="preserve"> undertaken by Walter Kälin, the former Special Rapporteur on the Human Rights of IDPs, and Hannah Entwisle Chapuisat, from September 2016 to January 2017, with contributions from several members of the IASC Reference Group would provide the foundation for the development of the operational guidance; </w:t>
                      </w:r>
                    </w:p>
                    <w:p w14:paraId="4481B211" w14:textId="77777777" w:rsidR="004B3A84" w:rsidRPr="00290CFA" w:rsidRDefault="004B3A84" w:rsidP="00384FFB">
                      <w:pPr>
                        <w:pStyle w:val="ListParagraph"/>
                        <w:numPr>
                          <w:ilvl w:val="0"/>
                          <w:numId w:val="5"/>
                        </w:numPr>
                        <w:spacing w:after="0" w:line="240" w:lineRule="auto"/>
                        <w:ind w:left="357" w:hanging="357"/>
                        <w:jc w:val="both"/>
                        <w:rPr>
                          <w:color w:val="0F243E" w:themeColor="text2" w:themeShade="80"/>
                          <w:sz w:val="18"/>
                          <w:szCs w:val="18"/>
                        </w:rPr>
                      </w:pPr>
                      <w:r w:rsidRPr="00290CFA">
                        <w:rPr>
                          <w:color w:val="0F243E" w:themeColor="text2" w:themeShade="80"/>
                          <w:sz w:val="18"/>
                          <w:szCs w:val="18"/>
                        </w:rPr>
                        <w:t>The Study identified protracted internal displacement as a key humanitarian, development and peacebuilding challenge; it contributed to conceptualizing protracted internal displacement building on different notions; it consolidated understanding on the causes and impacts of protracted internal displacement; it identified: the need to achieve common agreements on collective outcomes to be pursued, challenges in forging partnerships, effective practices to address protracted internal displacement, based on the context and responses in five protracted situations;</w:t>
                      </w:r>
                    </w:p>
                    <w:p w14:paraId="3E990201" w14:textId="77777777" w:rsidR="004B3A84" w:rsidRPr="00290CFA" w:rsidRDefault="004B3A84" w:rsidP="00384FFB">
                      <w:pPr>
                        <w:pStyle w:val="ListParagraph"/>
                        <w:numPr>
                          <w:ilvl w:val="0"/>
                          <w:numId w:val="5"/>
                        </w:numPr>
                        <w:spacing w:after="0" w:line="240" w:lineRule="auto"/>
                        <w:ind w:left="357" w:hanging="357"/>
                        <w:jc w:val="both"/>
                        <w:rPr>
                          <w:color w:val="0F243E" w:themeColor="text2" w:themeShade="80"/>
                          <w:sz w:val="18"/>
                          <w:szCs w:val="18"/>
                        </w:rPr>
                      </w:pPr>
                      <w:r w:rsidRPr="00290CFA">
                        <w:rPr>
                          <w:color w:val="0F243E" w:themeColor="text2" w:themeShade="80"/>
                          <w:sz w:val="18"/>
                          <w:szCs w:val="18"/>
                        </w:rPr>
                        <w:t>The identification of experts and fundraising to conduct baseline research into less visible population and how different actors have contributed to their finding solutions, as a complement to the Kälin study (The Institute of International and Development Studies at the Graduate Institute of Geneva, expected September 2017).</w:t>
                      </w:r>
                      <w:bookmarkStart w:id="1" w:name="_GoBack"/>
                      <w:bookmarkEnd w:id="1"/>
                    </w:p>
                    <w:p w14:paraId="44E750F3" w14:textId="77777777" w:rsidR="004B3A84" w:rsidRPr="004B3A84" w:rsidRDefault="004B3A84" w:rsidP="004B3A84">
                      <w:pPr>
                        <w:jc w:val="center"/>
                        <w:rPr>
                          <w:color w:val="0F243E" w:themeColor="text2" w:themeShade="80"/>
                          <w:sz w:val="20"/>
                          <w:szCs w:val="20"/>
                        </w:rPr>
                      </w:pPr>
                    </w:p>
                  </w:txbxContent>
                </v:textbox>
                <w10:wrap anchorx="margin"/>
              </v:rect>
            </w:pict>
          </mc:Fallback>
        </mc:AlternateContent>
      </w:r>
    </w:p>
    <w:p w14:paraId="337E6175" w14:textId="753F1CA8" w:rsidR="00D064C8" w:rsidRDefault="00D064C8" w:rsidP="00843D0A">
      <w:pPr>
        <w:spacing w:after="0" w:line="240" w:lineRule="auto"/>
        <w:jc w:val="both"/>
        <w:rPr>
          <w:rFonts w:ascii="Calibri" w:eastAsia="Times New Roman" w:hAnsi="Calibri" w:cs="Arial"/>
          <w:b/>
          <w:bCs/>
          <w:color w:val="004080"/>
        </w:rPr>
      </w:pPr>
    </w:p>
    <w:p w14:paraId="0A5FD444" w14:textId="22785FEF" w:rsidR="00D064C8" w:rsidRDefault="00D064C8" w:rsidP="00843D0A">
      <w:pPr>
        <w:spacing w:after="0" w:line="240" w:lineRule="auto"/>
        <w:jc w:val="both"/>
        <w:rPr>
          <w:rFonts w:ascii="Calibri" w:eastAsia="Times New Roman" w:hAnsi="Calibri" w:cs="Arial"/>
          <w:b/>
          <w:bCs/>
          <w:color w:val="004080"/>
        </w:rPr>
      </w:pPr>
    </w:p>
    <w:p w14:paraId="195EFA2A" w14:textId="24705388" w:rsidR="00D064C8" w:rsidRDefault="00D064C8" w:rsidP="00843D0A">
      <w:pPr>
        <w:spacing w:after="0" w:line="240" w:lineRule="auto"/>
        <w:jc w:val="both"/>
        <w:rPr>
          <w:rFonts w:ascii="Calibri" w:eastAsia="Times New Roman" w:hAnsi="Calibri" w:cs="Arial"/>
          <w:b/>
          <w:bCs/>
          <w:color w:val="004080"/>
        </w:rPr>
      </w:pPr>
    </w:p>
    <w:p w14:paraId="6BAFDF58" w14:textId="122B7791" w:rsidR="00D064C8" w:rsidRDefault="00D064C8" w:rsidP="00843D0A">
      <w:pPr>
        <w:spacing w:after="0" w:line="240" w:lineRule="auto"/>
        <w:jc w:val="both"/>
        <w:rPr>
          <w:rFonts w:ascii="Calibri" w:eastAsia="Times New Roman" w:hAnsi="Calibri" w:cs="Arial"/>
          <w:b/>
          <w:bCs/>
          <w:color w:val="004080"/>
        </w:rPr>
      </w:pPr>
    </w:p>
    <w:p w14:paraId="551814C0" w14:textId="5A65F9D7" w:rsidR="00D064C8" w:rsidRDefault="00D064C8" w:rsidP="00843D0A">
      <w:pPr>
        <w:spacing w:after="0" w:line="240" w:lineRule="auto"/>
        <w:jc w:val="both"/>
        <w:rPr>
          <w:rFonts w:ascii="Calibri" w:eastAsia="Times New Roman" w:hAnsi="Calibri" w:cs="Arial"/>
          <w:b/>
          <w:bCs/>
          <w:color w:val="004080"/>
        </w:rPr>
      </w:pPr>
    </w:p>
    <w:p w14:paraId="17E0E53D" w14:textId="5E5CE364" w:rsidR="00D064C8" w:rsidRDefault="00D064C8" w:rsidP="00843D0A">
      <w:pPr>
        <w:spacing w:after="0" w:line="240" w:lineRule="auto"/>
        <w:jc w:val="both"/>
        <w:rPr>
          <w:rFonts w:ascii="Calibri" w:eastAsia="Times New Roman" w:hAnsi="Calibri" w:cs="Arial"/>
          <w:b/>
          <w:bCs/>
          <w:color w:val="004080"/>
        </w:rPr>
      </w:pPr>
    </w:p>
    <w:p w14:paraId="29C726AF" w14:textId="2D92CF8F" w:rsidR="00D064C8" w:rsidRDefault="00D064C8" w:rsidP="00843D0A">
      <w:pPr>
        <w:spacing w:after="0" w:line="240" w:lineRule="auto"/>
        <w:jc w:val="both"/>
        <w:rPr>
          <w:rFonts w:ascii="Calibri" w:eastAsia="Times New Roman" w:hAnsi="Calibri" w:cs="Arial"/>
          <w:b/>
          <w:bCs/>
          <w:color w:val="004080"/>
        </w:rPr>
      </w:pPr>
    </w:p>
    <w:p w14:paraId="5823D307" w14:textId="53E2FA69" w:rsidR="00D064C8" w:rsidRDefault="00D064C8" w:rsidP="00843D0A">
      <w:pPr>
        <w:spacing w:after="0" w:line="240" w:lineRule="auto"/>
        <w:jc w:val="both"/>
        <w:rPr>
          <w:rFonts w:ascii="Calibri" w:eastAsia="Times New Roman" w:hAnsi="Calibri" w:cs="Arial"/>
          <w:b/>
          <w:bCs/>
          <w:color w:val="004080"/>
        </w:rPr>
      </w:pPr>
    </w:p>
    <w:p w14:paraId="71638A02" w14:textId="6A3333CD" w:rsidR="00D064C8" w:rsidRDefault="00D064C8" w:rsidP="00843D0A">
      <w:pPr>
        <w:spacing w:after="0" w:line="240" w:lineRule="auto"/>
        <w:jc w:val="both"/>
        <w:rPr>
          <w:rFonts w:ascii="Calibri" w:eastAsia="Times New Roman" w:hAnsi="Calibri" w:cs="Arial"/>
          <w:b/>
          <w:bCs/>
          <w:color w:val="004080"/>
        </w:rPr>
      </w:pPr>
    </w:p>
    <w:p w14:paraId="12B26019" w14:textId="17AA8CA0" w:rsidR="00D064C8" w:rsidRDefault="00D064C8" w:rsidP="00843D0A">
      <w:pPr>
        <w:spacing w:after="0" w:line="240" w:lineRule="auto"/>
        <w:jc w:val="both"/>
        <w:rPr>
          <w:rFonts w:ascii="Calibri" w:eastAsia="Times New Roman" w:hAnsi="Calibri" w:cs="Arial"/>
          <w:b/>
          <w:bCs/>
          <w:color w:val="004080"/>
        </w:rPr>
      </w:pPr>
    </w:p>
    <w:p w14:paraId="601D4BD0" w14:textId="0D74B204" w:rsidR="00D064C8" w:rsidRDefault="00D064C8" w:rsidP="00843D0A">
      <w:pPr>
        <w:spacing w:after="0" w:line="240" w:lineRule="auto"/>
        <w:jc w:val="both"/>
        <w:rPr>
          <w:rFonts w:ascii="Calibri" w:eastAsia="Times New Roman" w:hAnsi="Calibri" w:cs="Arial"/>
          <w:b/>
          <w:bCs/>
          <w:color w:val="004080"/>
        </w:rPr>
      </w:pPr>
    </w:p>
    <w:p w14:paraId="5EF25542" w14:textId="40951A9B" w:rsidR="00D064C8" w:rsidRDefault="00D064C8" w:rsidP="00843D0A">
      <w:pPr>
        <w:spacing w:after="0" w:line="240" w:lineRule="auto"/>
        <w:jc w:val="both"/>
        <w:rPr>
          <w:rFonts w:ascii="Calibri" w:eastAsia="Times New Roman" w:hAnsi="Calibri" w:cs="Arial"/>
          <w:b/>
          <w:bCs/>
          <w:color w:val="004080"/>
        </w:rPr>
      </w:pPr>
    </w:p>
    <w:p w14:paraId="11BDB7FF" w14:textId="48DEB94F" w:rsidR="00D064C8" w:rsidRDefault="00D064C8" w:rsidP="00843D0A">
      <w:pPr>
        <w:spacing w:after="0" w:line="240" w:lineRule="auto"/>
        <w:jc w:val="both"/>
        <w:rPr>
          <w:rFonts w:ascii="Calibri" w:eastAsia="Times New Roman" w:hAnsi="Calibri" w:cs="Arial"/>
          <w:b/>
          <w:bCs/>
          <w:color w:val="004080"/>
        </w:rPr>
      </w:pPr>
    </w:p>
    <w:p w14:paraId="36485E25" w14:textId="6E62DD3B" w:rsidR="00D064C8" w:rsidRDefault="00D064C8" w:rsidP="00843D0A">
      <w:pPr>
        <w:spacing w:after="0" w:line="240" w:lineRule="auto"/>
        <w:jc w:val="both"/>
        <w:rPr>
          <w:rFonts w:ascii="Calibri" w:eastAsia="Times New Roman" w:hAnsi="Calibri" w:cs="Arial"/>
          <w:b/>
          <w:bCs/>
          <w:color w:val="004080"/>
        </w:rPr>
      </w:pPr>
    </w:p>
    <w:p w14:paraId="1150873D" w14:textId="68A1B683" w:rsidR="00D064C8" w:rsidRDefault="00384FFB" w:rsidP="00843D0A">
      <w:pPr>
        <w:spacing w:after="0" w:line="240" w:lineRule="auto"/>
        <w:jc w:val="both"/>
        <w:rPr>
          <w:rFonts w:ascii="Calibri" w:eastAsia="Times New Roman" w:hAnsi="Calibri" w:cs="Arial"/>
          <w:b/>
          <w:bCs/>
          <w:color w:val="004080"/>
        </w:rPr>
      </w:pPr>
      <w:r>
        <w:rPr>
          <w:i/>
          <w:noProof/>
          <w:color w:val="8DB3E2" w:themeColor="text2" w:themeTint="66"/>
          <w:lang w:eastAsia="zh-CN"/>
        </w:rPr>
        <mc:AlternateContent>
          <mc:Choice Requires="wps">
            <w:drawing>
              <wp:anchor distT="0" distB="0" distL="114300" distR="114300" simplePos="0" relativeHeight="251663360" behindDoc="0" locked="0" layoutInCell="1" allowOverlap="1" wp14:anchorId="6AD2C81E" wp14:editId="45FB4A03">
                <wp:simplePos x="0" y="0"/>
                <wp:positionH relativeFrom="margin">
                  <wp:align>left</wp:align>
                </wp:positionH>
                <wp:positionV relativeFrom="paragraph">
                  <wp:posOffset>8890</wp:posOffset>
                </wp:positionV>
                <wp:extent cx="3629025" cy="4600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629025" cy="4600575"/>
                        </a:xfrm>
                        <a:prstGeom prst="rect">
                          <a:avLst/>
                        </a:prstGeom>
                        <a:solidFill>
                          <a:schemeClr val="accent6">
                            <a:lumMod val="20000"/>
                            <a:lumOff val="80000"/>
                          </a:schemeClr>
                        </a:solidFill>
                        <a:ln w="952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3C490" w14:textId="0B36C937" w:rsidR="004B3A84" w:rsidRDefault="004B3A84" w:rsidP="003E60ED">
                            <w:pPr>
                              <w:spacing w:after="0" w:line="240" w:lineRule="auto"/>
                              <w:jc w:val="center"/>
                              <w:rPr>
                                <w:rFonts w:ascii="Calibri" w:eastAsia="Times New Roman" w:hAnsi="Calibri" w:cs="Arial"/>
                                <w:b/>
                                <w:bCs/>
                                <w:color w:val="E36C0A" w:themeColor="accent6" w:themeShade="BF"/>
                              </w:rPr>
                            </w:pPr>
                            <w:r w:rsidRPr="003E60ED">
                              <w:rPr>
                                <w:rFonts w:ascii="Calibri" w:eastAsia="Times New Roman" w:hAnsi="Calibri" w:cs="Arial"/>
                                <w:b/>
                                <w:bCs/>
                                <w:color w:val="E36C0A" w:themeColor="accent6" w:themeShade="BF"/>
                              </w:rPr>
                              <w:t>Challenges to Achieving Expected Objectives/Activities in 2017 and Possible Work Plan Alterations</w:t>
                            </w:r>
                          </w:p>
                          <w:p w14:paraId="54532244" w14:textId="77777777" w:rsidR="00384FFB" w:rsidRPr="003E60ED" w:rsidRDefault="00384FFB" w:rsidP="003E60ED">
                            <w:pPr>
                              <w:spacing w:after="0" w:line="240" w:lineRule="auto"/>
                              <w:jc w:val="center"/>
                              <w:rPr>
                                <w:rFonts w:ascii="Calibri" w:eastAsia="Times New Roman" w:hAnsi="Calibri" w:cs="Arial"/>
                                <w:b/>
                                <w:bCs/>
                                <w:color w:val="E36C0A" w:themeColor="accent6" w:themeShade="BF"/>
                              </w:rPr>
                            </w:pPr>
                          </w:p>
                          <w:p w14:paraId="235E7876" w14:textId="77777777" w:rsidR="004B3A84" w:rsidRPr="00805E34" w:rsidRDefault="004B3A84" w:rsidP="003E60ED">
                            <w:pPr>
                              <w:pStyle w:val="ListParagraph"/>
                              <w:numPr>
                                <w:ilvl w:val="0"/>
                                <w:numId w:val="3"/>
                              </w:numPr>
                              <w:spacing w:after="0"/>
                              <w:ind w:left="357" w:hanging="357"/>
                              <w:jc w:val="both"/>
                              <w:rPr>
                                <w:color w:val="0F243E" w:themeColor="text2" w:themeShade="80"/>
                                <w:sz w:val="18"/>
                                <w:szCs w:val="18"/>
                              </w:rPr>
                            </w:pPr>
                            <w:r w:rsidRPr="00805E34">
                              <w:rPr>
                                <w:color w:val="0F243E" w:themeColor="text2" w:themeShade="80"/>
                                <w:sz w:val="18"/>
                                <w:szCs w:val="18"/>
                              </w:rPr>
                              <w:t>The Reference Group was formed in April 2016 just before the World Humanitarian Summit and in a period during which protracted displacement of IDPs was under discussion in multiple multilateral fora.  This delayed commencement of the RG’s work at first instance.</w:t>
                            </w:r>
                          </w:p>
                          <w:p w14:paraId="7A400EDF" w14:textId="77777777" w:rsidR="004B3A84" w:rsidRPr="00805E34" w:rsidRDefault="004B3A84" w:rsidP="003E60ED">
                            <w:pPr>
                              <w:pStyle w:val="ListParagraph"/>
                              <w:numPr>
                                <w:ilvl w:val="0"/>
                                <w:numId w:val="3"/>
                              </w:numPr>
                              <w:spacing w:after="0"/>
                              <w:ind w:left="357" w:hanging="357"/>
                              <w:jc w:val="both"/>
                              <w:rPr>
                                <w:color w:val="0F243E" w:themeColor="text2" w:themeShade="80"/>
                                <w:sz w:val="18"/>
                                <w:szCs w:val="18"/>
                              </w:rPr>
                            </w:pPr>
                            <w:r w:rsidRPr="00805E34">
                              <w:rPr>
                                <w:color w:val="0F243E" w:themeColor="text2" w:themeShade="80"/>
                                <w:sz w:val="18"/>
                                <w:szCs w:val="18"/>
                              </w:rPr>
                              <w:t xml:space="preserve">At the same time, international attention was on the rise for refugees and migrants, with the UN Summit on </w:t>
                            </w:r>
                          </w:p>
                          <w:p w14:paraId="06877036" w14:textId="77777777" w:rsidR="004B3A84" w:rsidRPr="00805E34" w:rsidRDefault="004B3A84" w:rsidP="003E60ED">
                            <w:pPr>
                              <w:pStyle w:val="ListParagraph"/>
                              <w:numPr>
                                <w:ilvl w:val="0"/>
                                <w:numId w:val="3"/>
                              </w:numPr>
                              <w:spacing w:after="0"/>
                              <w:ind w:left="357" w:hanging="357"/>
                              <w:jc w:val="both"/>
                              <w:rPr>
                                <w:color w:val="0F243E" w:themeColor="text2" w:themeShade="80"/>
                                <w:sz w:val="18"/>
                                <w:szCs w:val="18"/>
                              </w:rPr>
                            </w:pPr>
                            <w:r w:rsidRPr="00805E34">
                              <w:rPr>
                                <w:color w:val="0F243E" w:themeColor="text2" w:themeShade="80"/>
                                <w:sz w:val="18"/>
                                <w:szCs w:val="18"/>
                              </w:rPr>
                              <w:t xml:space="preserve">In accordance with the IASC Work Plan 2016-2017, the contribution of the Reference Group was framed under ‘support to the implementation of the IASC Framework on Durable Solutions for IDPs in protracted displacement. Other than this broad scope of work, the IASC did not identify a clear role or specific task for the Reference Group.  The TORs needed to be defined by the group and a programme of work designed to facilitate the implementation of numerous and wide-ranging agreements reached during 2016, without duplicating the work of others.  </w:t>
                            </w:r>
                          </w:p>
                          <w:p w14:paraId="14E86A03" w14:textId="77777777" w:rsidR="004B3A84" w:rsidRPr="00805E34" w:rsidRDefault="004B3A84" w:rsidP="003E60ED">
                            <w:pPr>
                              <w:pStyle w:val="ListParagraph"/>
                              <w:numPr>
                                <w:ilvl w:val="0"/>
                                <w:numId w:val="3"/>
                              </w:numPr>
                              <w:spacing w:after="0"/>
                              <w:ind w:left="357" w:hanging="357"/>
                              <w:jc w:val="both"/>
                              <w:rPr>
                                <w:color w:val="0F243E" w:themeColor="text2" w:themeShade="80"/>
                                <w:sz w:val="18"/>
                                <w:szCs w:val="18"/>
                              </w:rPr>
                            </w:pPr>
                            <w:r w:rsidRPr="00805E34">
                              <w:rPr>
                                <w:color w:val="0F243E" w:themeColor="text2" w:themeShade="80"/>
                                <w:sz w:val="18"/>
                                <w:szCs w:val="18"/>
                              </w:rPr>
                              <w:t xml:space="preserve">Since there is consensus that effective programming in IDP situations in general and in protracted situations in particular requires close collaboration with not only States and other Development actors but also with Peacebuilding actors, it was necessary to reach agreement with those beyond the IASC membership. </w:t>
                            </w:r>
                          </w:p>
                          <w:p w14:paraId="3337B6E1" w14:textId="77777777" w:rsidR="004B3A84" w:rsidRPr="00805E34" w:rsidRDefault="004B3A84" w:rsidP="003E60ED">
                            <w:pPr>
                              <w:pStyle w:val="ListParagraph"/>
                              <w:numPr>
                                <w:ilvl w:val="0"/>
                                <w:numId w:val="3"/>
                              </w:numPr>
                              <w:spacing w:after="0"/>
                              <w:ind w:left="357" w:hanging="357"/>
                              <w:jc w:val="both"/>
                              <w:rPr>
                                <w:color w:val="0F243E" w:themeColor="text2" w:themeShade="80"/>
                                <w:sz w:val="18"/>
                                <w:szCs w:val="18"/>
                              </w:rPr>
                            </w:pPr>
                            <w:r w:rsidRPr="00805E34">
                              <w:rPr>
                                <w:color w:val="0F243E" w:themeColor="text2" w:themeShade="80"/>
                                <w:sz w:val="18"/>
                                <w:szCs w:val="18"/>
                              </w:rPr>
                              <w:t xml:space="preserve">Since the Reference Group was started only in April 2016 and had not been foreseen in any work plans until that time, funding for the necessary research and the administrative steps needed to commence work took more time than had been hoped. </w:t>
                            </w:r>
                          </w:p>
                          <w:p w14:paraId="15D6D96C" w14:textId="77777777" w:rsidR="004B3A84" w:rsidRDefault="004B3A84" w:rsidP="004B3A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2C81E" id="Rectangle 5" o:spid="_x0000_s1029" style="position:absolute;left:0;text-align:left;margin-left:0;margin-top:.7pt;width:285.75pt;height:36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TwgIAAEIGAAAOAAAAZHJzL2Uyb0RvYy54bWysVG1P2zAQ/j5p/8Hy95G0tAUqUlSBmCYx&#10;QMDEZ9exm0h+m+026X79znYSCnRMmvYlse/tuXt8d+cXrRRoy6yrtSrw6CjHiCmqy1qtC/zj6frL&#10;KUbOE1USoRUr8I45fLH4/Om8MXM21pUWJbMIgig3b0yBK+/NPMscrZgk7kgbpkDJtZXEw9Wus9KS&#10;BqJLkY3zfJY12pbGasqcA+lVUuJFjM85o/6Oc8c8EgWG3Hz82vhdhW+2OCfztSWmqmmXBvmHLCSp&#10;FYAOoa6IJ2hj63ehZE2tdpr7I6plpjmvKYs1QDWj/E01jxUxLNYC5Dgz0OT+X1h6u723qC4LPMVI&#10;EQlP9ACkEbUWDE0DPY1xc7B6NPe2uzk4hlpbbmX4QxWojZTuBkpZ6xEF4fFsfJaPITYF3WSW59OT&#10;GDV7cTfW+a9MSxQOBbYAH6kk2xvnARJMe5OA5rSoy+taiHgJfcIuhUVbAi9MKGXKz6K72Mjvukxy&#10;6JS8e2sQQ0ck8WkvBojYcSFSBHwFIhRqCnw2hTL+loBvx+/AoehD4JNe/BE46ISCjMIjJNrjye8E&#10;C6kI9cA4vB4QnXCHKvb5GKW0K1KyJJ7+EToGDJE5EDzE7gIc4noUWgSy7OyDK4tjNzjnCf0j58Ej&#10;ImvlB2dZK20PBRB+QE72PUmJmsCSb1dt7Ozjvo1XutxBt1ud1oAz9LqGnrshzt8TC3MPGwJ2mb+D&#10;DxcaHl13J4wqbX8dkgd7GEfQYtTAHimw+7khlmEkvikY1LPRZBIWT7xMpidjuNh9zWpfozbyUkMj&#10;j2BrGhqPwd6L/sitls+w8pYBFVREUcAuMPW2v1z6tN9gaVK2XEYzWDaG+Bv1aGgIHngOM/XUPhNr&#10;usHzMLO3ut85ZP5m/pJt8FR6ufGa13E4A9OJ1+4FYFHFjuiWatiE+/do9bL6F78BAAD//wMAUEsD&#10;BBQABgAIAAAAIQA49X0w3wAAAAYBAAAPAAAAZHJzL2Rvd25yZXYueG1sTI/NTsMwEITvSLyDtUhc&#10;EHVaEdKGOFXLj1QpJ9oeOLrxNomw1yF22/D2LCc47sxo5ttiOTorzjiEzpOC6SQBgVR701GjYL97&#10;u5+DCFGT0dYTKvjGAMvy+qrQufEXesfzNjaCSyjkWkEbY59LGeoWnQ4T3yOxd/SD05HPoZFm0Bcu&#10;d1bOkuRROt0RL7S6x+cW68/tySmYV2ubrl7vBrses+prcfx4oWqj1O3NuHoCEXGMf2H4xWd0KJnp&#10;4E9kgrAK+JHI6gMINtNsmoI4KMhm6QJkWcj/+OUPAAAA//8DAFBLAQItABQABgAIAAAAIQC2gziS&#10;/gAAAOEBAAATAAAAAAAAAAAAAAAAAAAAAABbQ29udGVudF9UeXBlc10ueG1sUEsBAi0AFAAGAAgA&#10;AAAhADj9If/WAAAAlAEAAAsAAAAAAAAAAAAAAAAALwEAAF9yZWxzLy5yZWxzUEsBAi0AFAAGAAgA&#10;AAAhACG435PCAgAAQgYAAA4AAAAAAAAAAAAAAAAALgIAAGRycy9lMm9Eb2MueG1sUEsBAi0AFAAG&#10;AAgAAAAhADj1fTDfAAAABgEAAA8AAAAAAAAAAAAAAAAAHAUAAGRycy9kb3ducmV2LnhtbFBLBQYA&#10;AAAABAAEAPMAAAAoBgAAAAA=&#10;" fillcolor="#fde9d9 [665]" strokecolor="#548dd4 [1951]">
                <v:textbox>
                  <w:txbxContent>
                    <w:p w14:paraId="6A53C490" w14:textId="0B36C937" w:rsidR="004B3A84" w:rsidRDefault="004B3A84" w:rsidP="003E60ED">
                      <w:pPr>
                        <w:spacing w:after="0" w:line="240" w:lineRule="auto"/>
                        <w:jc w:val="center"/>
                        <w:rPr>
                          <w:rFonts w:ascii="Calibri" w:eastAsia="Times New Roman" w:hAnsi="Calibri" w:cs="Arial"/>
                          <w:b/>
                          <w:bCs/>
                          <w:color w:val="E36C0A" w:themeColor="accent6" w:themeShade="BF"/>
                        </w:rPr>
                      </w:pPr>
                      <w:r w:rsidRPr="003E60ED">
                        <w:rPr>
                          <w:rFonts w:ascii="Calibri" w:eastAsia="Times New Roman" w:hAnsi="Calibri" w:cs="Arial"/>
                          <w:b/>
                          <w:bCs/>
                          <w:color w:val="E36C0A" w:themeColor="accent6" w:themeShade="BF"/>
                        </w:rPr>
                        <w:t>Challenges to Achieving Expected Objectives/Activities in 2017 and Possible Work Plan Alterations</w:t>
                      </w:r>
                    </w:p>
                    <w:p w14:paraId="54532244" w14:textId="77777777" w:rsidR="00384FFB" w:rsidRPr="003E60ED" w:rsidRDefault="00384FFB" w:rsidP="003E60ED">
                      <w:pPr>
                        <w:spacing w:after="0" w:line="240" w:lineRule="auto"/>
                        <w:jc w:val="center"/>
                        <w:rPr>
                          <w:rFonts w:ascii="Calibri" w:eastAsia="Times New Roman" w:hAnsi="Calibri" w:cs="Arial"/>
                          <w:b/>
                          <w:bCs/>
                          <w:color w:val="E36C0A" w:themeColor="accent6" w:themeShade="BF"/>
                        </w:rPr>
                      </w:pPr>
                    </w:p>
                    <w:p w14:paraId="235E7876" w14:textId="77777777" w:rsidR="004B3A84" w:rsidRPr="00805E34" w:rsidRDefault="004B3A84" w:rsidP="003E60ED">
                      <w:pPr>
                        <w:pStyle w:val="ListParagraph"/>
                        <w:numPr>
                          <w:ilvl w:val="0"/>
                          <w:numId w:val="3"/>
                        </w:numPr>
                        <w:spacing w:after="0"/>
                        <w:ind w:left="357" w:hanging="357"/>
                        <w:jc w:val="both"/>
                        <w:rPr>
                          <w:color w:val="0F243E" w:themeColor="text2" w:themeShade="80"/>
                          <w:sz w:val="18"/>
                          <w:szCs w:val="18"/>
                        </w:rPr>
                      </w:pPr>
                      <w:r w:rsidRPr="00805E34">
                        <w:rPr>
                          <w:color w:val="0F243E" w:themeColor="text2" w:themeShade="80"/>
                          <w:sz w:val="18"/>
                          <w:szCs w:val="18"/>
                        </w:rPr>
                        <w:t>The Reference Group was formed in April 2016 just before the World Humanitarian Summit and in a period during which protracted displacement of IDPs was under discussion in multiple multilateral fora.  This delayed commencement of the RG’s work at first instance.</w:t>
                      </w:r>
                    </w:p>
                    <w:p w14:paraId="7A400EDF" w14:textId="77777777" w:rsidR="004B3A84" w:rsidRPr="00805E34" w:rsidRDefault="004B3A84" w:rsidP="003E60ED">
                      <w:pPr>
                        <w:pStyle w:val="ListParagraph"/>
                        <w:numPr>
                          <w:ilvl w:val="0"/>
                          <w:numId w:val="3"/>
                        </w:numPr>
                        <w:spacing w:after="0"/>
                        <w:ind w:left="357" w:hanging="357"/>
                        <w:jc w:val="both"/>
                        <w:rPr>
                          <w:color w:val="0F243E" w:themeColor="text2" w:themeShade="80"/>
                          <w:sz w:val="18"/>
                          <w:szCs w:val="18"/>
                        </w:rPr>
                      </w:pPr>
                      <w:r w:rsidRPr="00805E34">
                        <w:rPr>
                          <w:color w:val="0F243E" w:themeColor="text2" w:themeShade="80"/>
                          <w:sz w:val="18"/>
                          <w:szCs w:val="18"/>
                        </w:rPr>
                        <w:t xml:space="preserve">At the same time, international attention was on the rise for refugees and migrants, with the UN Summit on </w:t>
                      </w:r>
                    </w:p>
                    <w:p w14:paraId="06877036" w14:textId="77777777" w:rsidR="004B3A84" w:rsidRPr="00805E34" w:rsidRDefault="004B3A84" w:rsidP="003E60ED">
                      <w:pPr>
                        <w:pStyle w:val="ListParagraph"/>
                        <w:numPr>
                          <w:ilvl w:val="0"/>
                          <w:numId w:val="3"/>
                        </w:numPr>
                        <w:spacing w:after="0"/>
                        <w:ind w:left="357" w:hanging="357"/>
                        <w:jc w:val="both"/>
                        <w:rPr>
                          <w:color w:val="0F243E" w:themeColor="text2" w:themeShade="80"/>
                          <w:sz w:val="18"/>
                          <w:szCs w:val="18"/>
                        </w:rPr>
                      </w:pPr>
                      <w:r w:rsidRPr="00805E34">
                        <w:rPr>
                          <w:color w:val="0F243E" w:themeColor="text2" w:themeShade="80"/>
                          <w:sz w:val="18"/>
                          <w:szCs w:val="18"/>
                        </w:rPr>
                        <w:t xml:space="preserve">In accordance with the IASC Work Plan 2016-2017, the contribution of the Reference Group was framed under ‘support to the implementation of the IASC Framework on Durable Solutions for IDPs in protracted displacement. Other than this broad scope of work, the IASC did not identify a clear role or specific task for the Reference Group.  The TORs needed to be defined by the group and a programme of work designed to facilitate the implementation of numerous and wide-ranging agreements reached during 2016, without duplicating the work of others.  </w:t>
                      </w:r>
                    </w:p>
                    <w:p w14:paraId="14E86A03" w14:textId="77777777" w:rsidR="004B3A84" w:rsidRPr="00805E34" w:rsidRDefault="004B3A84" w:rsidP="003E60ED">
                      <w:pPr>
                        <w:pStyle w:val="ListParagraph"/>
                        <w:numPr>
                          <w:ilvl w:val="0"/>
                          <w:numId w:val="3"/>
                        </w:numPr>
                        <w:spacing w:after="0"/>
                        <w:ind w:left="357" w:hanging="357"/>
                        <w:jc w:val="both"/>
                        <w:rPr>
                          <w:color w:val="0F243E" w:themeColor="text2" w:themeShade="80"/>
                          <w:sz w:val="18"/>
                          <w:szCs w:val="18"/>
                        </w:rPr>
                      </w:pPr>
                      <w:r w:rsidRPr="00805E34">
                        <w:rPr>
                          <w:color w:val="0F243E" w:themeColor="text2" w:themeShade="80"/>
                          <w:sz w:val="18"/>
                          <w:szCs w:val="18"/>
                        </w:rPr>
                        <w:t xml:space="preserve">Since there is consensus that effective programming in IDP situations in general and in protracted situations in particular requires close collaboration with not only States and other Development actors but also with Peacebuilding actors, it was necessary to reach agreement with those beyond the IASC membership. </w:t>
                      </w:r>
                    </w:p>
                    <w:p w14:paraId="3337B6E1" w14:textId="77777777" w:rsidR="004B3A84" w:rsidRPr="00805E34" w:rsidRDefault="004B3A84" w:rsidP="003E60ED">
                      <w:pPr>
                        <w:pStyle w:val="ListParagraph"/>
                        <w:numPr>
                          <w:ilvl w:val="0"/>
                          <w:numId w:val="3"/>
                        </w:numPr>
                        <w:spacing w:after="0"/>
                        <w:ind w:left="357" w:hanging="357"/>
                        <w:jc w:val="both"/>
                        <w:rPr>
                          <w:color w:val="0F243E" w:themeColor="text2" w:themeShade="80"/>
                          <w:sz w:val="18"/>
                          <w:szCs w:val="18"/>
                        </w:rPr>
                      </w:pPr>
                      <w:r w:rsidRPr="00805E34">
                        <w:rPr>
                          <w:color w:val="0F243E" w:themeColor="text2" w:themeShade="80"/>
                          <w:sz w:val="18"/>
                          <w:szCs w:val="18"/>
                        </w:rPr>
                        <w:t xml:space="preserve">Since the Reference Group was started only in April 2016 and had not been foreseen in any work plans until that time, funding for the necessary research and the administrative steps needed to commence work took more time than had been hoped. </w:t>
                      </w:r>
                    </w:p>
                    <w:p w14:paraId="15D6D96C" w14:textId="77777777" w:rsidR="004B3A84" w:rsidRDefault="004B3A84" w:rsidP="004B3A84">
                      <w:pPr>
                        <w:jc w:val="center"/>
                      </w:pPr>
                    </w:p>
                  </w:txbxContent>
                </v:textbox>
                <w10:wrap anchorx="margin"/>
              </v:rect>
            </w:pict>
          </mc:Fallback>
        </mc:AlternateContent>
      </w:r>
      <w:r>
        <w:rPr>
          <w:noProof/>
          <w:lang w:eastAsia="zh-CN"/>
        </w:rPr>
        <mc:AlternateContent>
          <mc:Choice Requires="wps">
            <w:drawing>
              <wp:anchor distT="0" distB="0" distL="114300" distR="114300" simplePos="0" relativeHeight="251664384" behindDoc="0" locked="0" layoutInCell="1" allowOverlap="1" wp14:anchorId="3500AC9A" wp14:editId="1EE3A7AB">
                <wp:simplePos x="0" y="0"/>
                <wp:positionH relativeFrom="margin">
                  <wp:align>right</wp:align>
                </wp:positionH>
                <wp:positionV relativeFrom="paragraph">
                  <wp:posOffset>8890</wp:posOffset>
                </wp:positionV>
                <wp:extent cx="3514725" cy="46101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514725" cy="4610100"/>
                        </a:xfrm>
                        <a:prstGeom prst="rect">
                          <a:avLst/>
                        </a:prstGeom>
                        <a:solidFill>
                          <a:schemeClr val="bg1"/>
                        </a:solidFill>
                        <a:ln w="952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033B6" w14:textId="77777777" w:rsidR="004B3A84" w:rsidRPr="003E60ED" w:rsidRDefault="004B3A84" w:rsidP="003E60ED">
                            <w:pPr>
                              <w:spacing w:after="0" w:line="240" w:lineRule="auto"/>
                              <w:jc w:val="center"/>
                              <w:rPr>
                                <w:rFonts w:ascii="Calibri" w:eastAsia="Times New Roman" w:hAnsi="Calibri" w:cs="Arial"/>
                                <w:b/>
                                <w:bCs/>
                                <w:color w:val="E36C0A" w:themeColor="accent6" w:themeShade="BF"/>
                              </w:rPr>
                            </w:pPr>
                            <w:r w:rsidRPr="003E60ED">
                              <w:rPr>
                                <w:rFonts w:ascii="Calibri" w:eastAsia="Times New Roman" w:hAnsi="Calibri" w:cs="Arial"/>
                                <w:b/>
                                <w:bCs/>
                                <w:color w:val="E36C0A" w:themeColor="accent6" w:themeShade="BF"/>
                              </w:rPr>
                              <w:t>Planned Activities/Products for Remainder of Envisaged Life Span of the TT/RG</w:t>
                            </w:r>
                          </w:p>
                          <w:p w14:paraId="25A03405" w14:textId="77777777" w:rsidR="004B3A84" w:rsidRPr="003E60ED" w:rsidRDefault="004B3A84" w:rsidP="00010E4F">
                            <w:pPr>
                              <w:pStyle w:val="ListParagraph"/>
                              <w:numPr>
                                <w:ilvl w:val="0"/>
                                <w:numId w:val="3"/>
                              </w:numPr>
                              <w:spacing w:after="0"/>
                              <w:ind w:left="0"/>
                              <w:jc w:val="both"/>
                              <w:rPr>
                                <w:color w:val="0F243E" w:themeColor="text2" w:themeShade="80"/>
                                <w:sz w:val="18"/>
                                <w:szCs w:val="18"/>
                              </w:rPr>
                            </w:pPr>
                            <w:r w:rsidRPr="003E60ED">
                              <w:rPr>
                                <w:color w:val="0F243E" w:themeColor="text2" w:themeShade="80"/>
                                <w:sz w:val="18"/>
                                <w:szCs w:val="18"/>
                              </w:rPr>
                              <w:t>Since the Graduate Institute research will build on the work of the Kälin study (a final version is expected to be available in April 2017), it is expected that the main findings of the baseline research will be available mid-2017 and that a final report will be available in September 2017.</w:t>
                            </w:r>
                          </w:p>
                          <w:p w14:paraId="0DF85EF0" w14:textId="77777777" w:rsidR="004B3A84" w:rsidRPr="003E60ED" w:rsidRDefault="004B3A84" w:rsidP="00010E4F">
                            <w:pPr>
                              <w:pStyle w:val="ListParagraph"/>
                              <w:numPr>
                                <w:ilvl w:val="0"/>
                                <w:numId w:val="3"/>
                              </w:numPr>
                              <w:spacing w:after="0"/>
                              <w:ind w:left="0"/>
                              <w:jc w:val="both"/>
                              <w:rPr>
                                <w:color w:val="0F243E" w:themeColor="text2" w:themeShade="80"/>
                                <w:sz w:val="18"/>
                                <w:szCs w:val="18"/>
                              </w:rPr>
                            </w:pPr>
                            <w:r w:rsidRPr="003E60ED">
                              <w:rPr>
                                <w:color w:val="0F243E" w:themeColor="text2" w:themeShade="80"/>
                                <w:sz w:val="18"/>
                                <w:szCs w:val="18"/>
                              </w:rPr>
                              <w:t>The guidance is expected to be drawn from the two studies and other, ongoing, initiatives and to be agreed at a workshop in the last quarter of 2017, for review, validation and publication by the first quarter of 2018.</w:t>
                            </w:r>
                          </w:p>
                          <w:p w14:paraId="0C5EDCBB" w14:textId="77777777" w:rsidR="004B3A84" w:rsidRPr="003E60ED" w:rsidRDefault="004B3A84" w:rsidP="00010E4F">
                            <w:pPr>
                              <w:pStyle w:val="ListParagraph"/>
                              <w:numPr>
                                <w:ilvl w:val="0"/>
                                <w:numId w:val="3"/>
                              </w:numPr>
                              <w:spacing w:after="0"/>
                              <w:ind w:left="0"/>
                              <w:jc w:val="both"/>
                              <w:rPr>
                                <w:color w:val="0F243E" w:themeColor="text2" w:themeShade="80"/>
                                <w:sz w:val="18"/>
                                <w:szCs w:val="18"/>
                              </w:rPr>
                            </w:pPr>
                            <w:r w:rsidRPr="003E60ED">
                              <w:rPr>
                                <w:color w:val="0F243E" w:themeColor="text2" w:themeShade="80"/>
                                <w:sz w:val="18"/>
                                <w:szCs w:val="18"/>
                              </w:rPr>
                              <w:t>The Reference Group is expected to disband once the guidance is issued.</w:t>
                            </w:r>
                          </w:p>
                          <w:p w14:paraId="4B8743CB" w14:textId="77777777" w:rsidR="00384FFB" w:rsidRDefault="00384FFB" w:rsidP="003E60ED">
                            <w:pPr>
                              <w:spacing w:after="0" w:line="240" w:lineRule="auto"/>
                              <w:jc w:val="center"/>
                              <w:rPr>
                                <w:rFonts w:ascii="Calibri" w:eastAsia="Times New Roman" w:hAnsi="Calibri" w:cs="Arial"/>
                                <w:b/>
                                <w:bCs/>
                                <w:color w:val="E36C0A" w:themeColor="accent6" w:themeShade="BF"/>
                              </w:rPr>
                            </w:pPr>
                          </w:p>
                          <w:p w14:paraId="2E288F91" w14:textId="77777777" w:rsidR="004B3A84" w:rsidRPr="003E60ED" w:rsidRDefault="004B3A84" w:rsidP="003E60ED">
                            <w:pPr>
                              <w:spacing w:after="0" w:line="240" w:lineRule="auto"/>
                              <w:jc w:val="center"/>
                              <w:rPr>
                                <w:rFonts w:ascii="Calibri" w:eastAsia="Times New Roman" w:hAnsi="Calibri" w:cs="Arial"/>
                                <w:b/>
                                <w:bCs/>
                                <w:color w:val="E36C0A" w:themeColor="accent6" w:themeShade="BF"/>
                              </w:rPr>
                            </w:pPr>
                            <w:r w:rsidRPr="003E60ED">
                              <w:rPr>
                                <w:rFonts w:ascii="Calibri" w:eastAsia="Times New Roman" w:hAnsi="Calibri" w:cs="Arial"/>
                                <w:b/>
                                <w:bCs/>
                                <w:color w:val="E36C0A" w:themeColor="accent6" w:themeShade="BF"/>
                              </w:rPr>
                              <w:t>Further feedback requested while reporting</w:t>
                            </w:r>
                          </w:p>
                          <w:p w14:paraId="783C0E52" w14:textId="77777777" w:rsidR="004B3A84" w:rsidRPr="00384FFB" w:rsidRDefault="004B3A84" w:rsidP="00010E4F">
                            <w:pPr>
                              <w:spacing w:after="0" w:line="240" w:lineRule="auto"/>
                              <w:jc w:val="both"/>
                              <w:rPr>
                                <w:color w:val="0070C0"/>
                                <w:sz w:val="18"/>
                                <w:szCs w:val="18"/>
                                <w:lang w:val="en-US"/>
                              </w:rPr>
                            </w:pPr>
                            <w:r w:rsidRPr="00384FFB">
                              <w:rPr>
                                <w:rFonts w:ascii="Calibri" w:eastAsia="Times New Roman" w:hAnsi="Calibri" w:cs="Arial"/>
                                <w:b/>
                                <w:bCs/>
                                <w:color w:val="0070C0"/>
                                <w:sz w:val="18"/>
                                <w:szCs w:val="18"/>
                              </w:rPr>
                              <w:t xml:space="preserve">Areas Requiring Guidance/Advice from the WG </w:t>
                            </w:r>
                          </w:p>
                          <w:p w14:paraId="79B2C15C" w14:textId="77777777" w:rsidR="00010E4F" w:rsidRPr="003E60ED" w:rsidRDefault="004B3A84" w:rsidP="00010E4F">
                            <w:pPr>
                              <w:spacing w:after="0"/>
                              <w:rPr>
                                <w:color w:val="0F243E" w:themeColor="text2" w:themeShade="80"/>
                                <w:sz w:val="18"/>
                                <w:szCs w:val="18"/>
                                <w:lang w:val="en-US"/>
                              </w:rPr>
                            </w:pPr>
                            <w:r w:rsidRPr="003E60ED">
                              <w:rPr>
                                <w:color w:val="0F243E" w:themeColor="text2" w:themeShade="80"/>
                                <w:sz w:val="18"/>
                                <w:szCs w:val="18"/>
                                <w:lang w:val="en-US"/>
                              </w:rPr>
                              <w:t xml:space="preserve">Since the guidance will be issued in concert with development and peacebuilding coordinating bodies (as well as with the Reference Group on the Humanitarian-Development Nexus), any guidance from the WG and its wish to be involved in the review and endorsement process would be appreciated. </w:t>
                            </w:r>
                          </w:p>
                          <w:p w14:paraId="3EE59402" w14:textId="59B0CDD2" w:rsidR="004B3A84" w:rsidRPr="00384FFB" w:rsidRDefault="004B3A84" w:rsidP="00010E4F">
                            <w:pPr>
                              <w:spacing w:after="0"/>
                              <w:rPr>
                                <w:i/>
                                <w:color w:val="0070C0"/>
                                <w:sz w:val="18"/>
                                <w:szCs w:val="18"/>
                                <w:lang w:val="en-US"/>
                              </w:rPr>
                            </w:pPr>
                            <w:r w:rsidRPr="00384FFB">
                              <w:rPr>
                                <w:rFonts w:ascii="Calibri" w:eastAsia="Times New Roman" w:hAnsi="Calibri" w:cs="Arial"/>
                                <w:b/>
                                <w:bCs/>
                                <w:color w:val="0070C0"/>
                                <w:sz w:val="18"/>
                                <w:szCs w:val="18"/>
                              </w:rPr>
                              <w:t>Further detail on how workstreams/products support or relate to either a WHS and/or GB commitment/workstream</w:t>
                            </w:r>
                            <w:r w:rsidRPr="00384FFB">
                              <w:rPr>
                                <w:i/>
                                <w:color w:val="0070C0"/>
                                <w:sz w:val="18"/>
                                <w:szCs w:val="18"/>
                                <w:lang w:val="en-US"/>
                              </w:rPr>
                              <w:t>.</w:t>
                            </w:r>
                          </w:p>
                          <w:p w14:paraId="2C6F0CBE" w14:textId="77777777" w:rsidR="004B3A84" w:rsidRPr="003E60ED" w:rsidRDefault="004B3A84" w:rsidP="00010E4F">
                            <w:pPr>
                              <w:spacing w:after="0" w:line="240" w:lineRule="auto"/>
                              <w:jc w:val="both"/>
                              <w:rPr>
                                <w:color w:val="0F243E" w:themeColor="text2" w:themeShade="80"/>
                                <w:sz w:val="18"/>
                                <w:szCs w:val="18"/>
                              </w:rPr>
                            </w:pPr>
                            <w:r w:rsidRPr="003E60ED">
                              <w:rPr>
                                <w:color w:val="0F243E" w:themeColor="text2" w:themeShade="80"/>
                                <w:sz w:val="18"/>
                                <w:szCs w:val="18"/>
                              </w:rPr>
                              <w:t xml:space="preserve">The guidance, once complete, is expected to address numerous WHS and GB priorities, in particular those relating to national leadership; engagement with and support to national civil society; greater focus on international support to systems that can facilitate improved enjoyment of rights and advances against SDG implementation strategies.  It will speak to the principle of Leave No One Behind, drawing on the 2030 Agenda and making the link to the ongoing update of the UNDAF guidance, which identifies IDPs as among those groups likely to be left behind if programming is not inclusive from the beginning. </w:t>
                            </w:r>
                          </w:p>
                          <w:p w14:paraId="2C19E184" w14:textId="77777777" w:rsidR="004B3A84" w:rsidRPr="003E60ED" w:rsidRDefault="004B3A84" w:rsidP="004B3A8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0AC9A" id="Rectangle 6" o:spid="_x0000_s1030" style="position:absolute;left:0;text-align:left;margin-left:225.55pt;margin-top:.7pt;width:276.75pt;height:36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72ugIAAAMGAAAOAAAAZHJzL2Uyb0RvYy54bWysVNtu2zAMfR+wfxD0vjrOknQN6hRBiw4D&#10;urZoO/RZkaXYgCxqkhI7+/pRku1e1m3AsDwoEi+H5DHJ07OuUWQvrKtBFzQ/mlAiNIey1tuCfnu4&#10;/PCJEueZLpkCLQp6EI6erd6/O23NUkyhAlUKSxBEu2VrClp5b5ZZ5nglGuaOwAiNSgm2YR6fdpuV&#10;lrWI3qhsOpksshZsaSxw4RxKL5KSriK+lIL7Gymd8EQVFHPz8bTx3IQzW52y5dYyU9W8T4P9QxYN&#10;qzUGHaEumGdkZ+tfoJqaW3Ag/RGHJgMpay5iDVhNPnlVzX3FjIi1IDnOjDS5/wfLr/e3ltRlQReU&#10;aNbgJ7pD0pjeKkEWgZ7WuCVa3Ztb278cXkOtnbRN+McqSBcpPYyUis4TjsKP83x2PJ1TwlE3W+RY&#10;ZCQ9e3I31vnPAhoSLgW1GD5SyfZXzmNINB1MQjQHqi4va6XiI/SJOFeW7Bl+4c02DymjxwsrpUlb&#10;0JM55vE3BN9No43aNV+hTKiLCf5Sp6AY+ymJZ4M4hBvyeB0cdUqjMLCYeIs3f1AipKL0nZBIPzKV&#10;4o5AKQbjXGifp7QrVooknv82dAQMyBIZGrF7gCHJl9iJsN4+uIo4N6PzJEX/k/PoESOD9qNzU2uw&#10;bwEorKqPnOwHkhI1gSXfbbrYmrNgGSQbKA/YrhbSHDvDL2tsmivm/C2zOLg44riM/A0eUgF+dOhv&#10;lFRgf7wlD/Y4T6ilpMVFUFD3fcesoER90ThpJ/lsFjZHfMzmx1N82OeazXON3jXngJ2Y49ozPF6D&#10;vVfDVVpoHnFnrUNUVDHNMXZBubfD49ynBYVbj4v1OprhtjDMX+l7wwN44DkMxUP3yKzpJ8fj0F3D&#10;sDTY8tUAJdvgqWG98yDrOF1PvPZfADdN7OJ+K4ZV9vwdrZ529+onAAAA//8DAFBLAwQUAAYACAAA&#10;ACEAZQP1tNkAAAAGAQAADwAAAGRycy9kb3ducmV2LnhtbEyPwU7DMBBE70j8g7VI3KhDSNoojVMh&#10;BB9AQYijGy+J1Xgd2U4a/p7lBMedGc28bQ6rG8WCIVpPCu43GQikzhtLvYL3t5e7CkRMmowePaGC&#10;b4xwaK+vGl0bf6FXXI6pF1xCsdYKhpSmWsrYDeh03PgJib0vH5xOfIZemqAvXO5GmWfZVjptiRcG&#10;PeHTgN35ODsFwX8mX+SZ9EtVbfHZ2o+5sErd3qyPexAJ1/QXhl98RoeWmU5+JhPFqIAfSawWINgs&#10;y4cSxEnBLt8VINtG/sdvfwAAAP//AwBQSwECLQAUAAYACAAAACEAtoM4kv4AAADhAQAAEwAAAAAA&#10;AAAAAAAAAAAAAAAAW0NvbnRlbnRfVHlwZXNdLnhtbFBLAQItABQABgAIAAAAIQA4/SH/1gAAAJQB&#10;AAALAAAAAAAAAAAAAAAAAC8BAABfcmVscy8ucmVsc1BLAQItABQABgAIAAAAIQCuwB72ugIAAAMG&#10;AAAOAAAAAAAAAAAAAAAAAC4CAABkcnMvZTJvRG9jLnhtbFBLAQItABQABgAIAAAAIQBlA/W02QAA&#10;AAYBAAAPAAAAAAAAAAAAAAAAABQFAABkcnMvZG93bnJldi54bWxQSwUGAAAAAAQABADzAAAAGgYA&#10;AAAA&#10;" fillcolor="white [3212]" strokecolor="#548dd4 [1951]">
                <v:textbox>
                  <w:txbxContent>
                    <w:p w14:paraId="66F033B6" w14:textId="77777777" w:rsidR="004B3A84" w:rsidRPr="003E60ED" w:rsidRDefault="004B3A84" w:rsidP="003E60ED">
                      <w:pPr>
                        <w:spacing w:after="0" w:line="240" w:lineRule="auto"/>
                        <w:jc w:val="center"/>
                        <w:rPr>
                          <w:rFonts w:ascii="Calibri" w:eastAsia="Times New Roman" w:hAnsi="Calibri" w:cs="Arial"/>
                          <w:b/>
                          <w:bCs/>
                          <w:color w:val="E36C0A" w:themeColor="accent6" w:themeShade="BF"/>
                        </w:rPr>
                      </w:pPr>
                      <w:r w:rsidRPr="003E60ED">
                        <w:rPr>
                          <w:rFonts w:ascii="Calibri" w:eastAsia="Times New Roman" w:hAnsi="Calibri" w:cs="Arial"/>
                          <w:b/>
                          <w:bCs/>
                          <w:color w:val="E36C0A" w:themeColor="accent6" w:themeShade="BF"/>
                        </w:rPr>
                        <w:t>Planned Activities/Products for Remainder of Envisaged Life Span of the TT/RG</w:t>
                      </w:r>
                    </w:p>
                    <w:p w14:paraId="25A03405" w14:textId="77777777" w:rsidR="004B3A84" w:rsidRPr="003E60ED" w:rsidRDefault="004B3A84" w:rsidP="00010E4F">
                      <w:pPr>
                        <w:pStyle w:val="ListParagraph"/>
                        <w:numPr>
                          <w:ilvl w:val="0"/>
                          <w:numId w:val="3"/>
                        </w:numPr>
                        <w:spacing w:after="0"/>
                        <w:ind w:left="0"/>
                        <w:jc w:val="both"/>
                        <w:rPr>
                          <w:color w:val="0F243E" w:themeColor="text2" w:themeShade="80"/>
                          <w:sz w:val="18"/>
                          <w:szCs w:val="18"/>
                        </w:rPr>
                      </w:pPr>
                      <w:r w:rsidRPr="003E60ED">
                        <w:rPr>
                          <w:color w:val="0F243E" w:themeColor="text2" w:themeShade="80"/>
                          <w:sz w:val="18"/>
                          <w:szCs w:val="18"/>
                        </w:rPr>
                        <w:t>Since the Graduate Institute research will build on the work of the Kälin study (a final version is expected to be available in April 2017), it is expected that the main findings of the baseline research will be available mid-2017 and that a final report will be available in September 2017.</w:t>
                      </w:r>
                    </w:p>
                    <w:p w14:paraId="0DF85EF0" w14:textId="77777777" w:rsidR="004B3A84" w:rsidRPr="003E60ED" w:rsidRDefault="004B3A84" w:rsidP="00010E4F">
                      <w:pPr>
                        <w:pStyle w:val="ListParagraph"/>
                        <w:numPr>
                          <w:ilvl w:val="0"/>
                          <w:numId w:val="3"/>
                        </w:numPr>
                        <w:spacing w:after="0"/>
                        <w:ind w:left="0"/>
                        <w:jc w:val="both"/>
                        <w:rPr>
                          <w:color w:val="0F243E" w:themeColor="text2" w:themeShade="80"/>
                          <w:sz w:val="18"/>
                          <w:szCs w:val="18"/>
                        </w:rPr>
                      </w:pPr>
                      <w:r w:rsidRPr="003E60ED">
                        <w:rPr>
                          <w:color w:val="0F243E" w:themeColor="text2" w:themeShade="80"/>
                          <w:sz w:val="18"/>
                          <w:szCs w:val="18"/>
                        </w:rPr>
                        <w:t>The guidance is expected to be drawn from the two studies and other, ongoing, initiatives and to be agreed at a workshop in the last quarter of 2017, for review, validation and publication by the first quarter of 2018.</w:t>
                      </w:r>
                    </w:p>
                    <w:p w14:paraId="0C5EDCBB" w14:textId="77777777" w:rsidR="004B3A84" w:rsidRPr="003E60ED" w:rsidRDefault="004B3A84" w:rsidP="00010E4F">
                      <w:pPr>
                        <w:pStyle w:val="ListParagraph"/>
                        <w:numPr>
                          <w:ilvl w:val="0"/>
                          <w:numId w:val="3"/>
                        </w:numPr>
                        <w:spacing w:after="0"/>
                        <w:ind w:left="0"/>
                        <w:jc w:val="both"/>
                        <w:rPr>
                          <w:color w:val="0F243E" w:themeColor="text2" w:themeShade="80"/>
                          <w:sz w:val="18"/>
                          <w:szCs w:val="18"/>
                        </w:rPr>
                      </w:pPr>
                      <w:r w:rsidRPr="003E60ED">
                        <w:rPr>
                          <w:color w:val="0F243E" w:themeColor="text2" w:themeShade="80"/>
                          <w:sz w:val="18"/>
                          <w:szCs w:val="18"/>
                        </w:rPr>
                        <w:t>The Reference Group is expected to disband once the guidance is issued.</w:t>
                      </w:r>
                    </w:p>
                    <w:p w14:paraId="4B8743CB" w14:textId="77777777" w:rsidR="00384FFB" w:rsidRDefault="00384FFB" w:rsidP="003E60ED">
                      <w:pPr>
                        <w:spacing w:after="0" w:line="240" w:lineRule="auto"/>
                        <w:jc w:val="center"/>
                        <w:rPr>
                          <w:rFonts w:ascii="Calibri" w:eastAsia="Times New Roman" w:hAnsi="Calibri" w:cs="Arial"/>
                          <w:b/>
                          <w:bCs/>
                          <w:color w:val="E36C0A" w:themeColor="accent6" w:themeShade="BF"/>
                        </w:rPr>
                      </w:pPr>
                    </w:p>
                    <w:p w14:paraId="2E288F91" w14:textId="77777777" w:rsidR="004B3A84" w:rsidRPr="003E60ED" w:rsidRDefault="004B3A84" w:rsidP="003E60ED">
                      <w:pPr>
                        <w:spacing w:after="0" w:line="240" w:lineRule="auto"/>
                        <w:jc w:val="center"/>
                        <w:rPr>
                          <w:rFonts w:ascii="Calibri" w:eastAsia="Times New Roman" w:hAnsi="Calibri" w:cs="Arial"/>
                          <w:b/>
                          <w:bCs/>
                          <w:color w:val="E36C0A" w:themeColor="accent6" w:themeShade="BF"/>
                        </w:rPr>
                      </w:pPr>
                      <w:r w:rsidRPr="003E60ED">
                        <w:rPr>
                          <w:rFonts w:ascii="Calibri" w:eastAsia="Times New Roman" w:hAnsi="Calibri" w:cs="Arial"/>
                          <w:b/>
                          <w:bCs/>
                          <w:color w:val="E36C0A" w:themeColor="accent6" w:themeShade="BF"/>
                        </w:rPr>
                        <w:t>Further feedback requested while reporting</w:t>
                      </w:r>
                    </w:p>
                    <w:p w14:paraId="783C0E52" w14:textId="77777777" w:rsidR="004B3A84" w:rsidRPr="00384FFB" w:rsidRDefault="004B3A84" w:rsidP="00010E4F">
                      <w:pPr>
                        <w:spacing w:after="0" w:line="240" w:lineRule="auto"/>
                        <w:jc w:val="both"/>
                        <w:rPr>
                          <w:color w:val="0070C0"/>
                          <w:sz w:val="18"/>
                          <w:szCs w:val="18"/>
                          <w:lang w:val="en-US"/>
                        </w:rPr>
                      </w:pPr>
                      <w:r w:rsidRPr="00384FFB">
                        <w:rPr>
                          <w:rFonts w:ascii="Calibri" w:eastAsia="Times New Roman" w:hAnsi="Calibri" w:cs="Arial"/>
                          <w:b/>
                          <w:bCs/>
                          <w:color w:val="0070C0"/>
                          <w:sz w:val="18"/>
                          <w:szCs w:val="18"/>
                        </w:rPr>
                        <w:t xml:space="preserve">Areas Requiring Guidance/Advice from the WG </w:t>
                      </w:r>
                    </w:p>
                    <w:p w14:paraId="79B2C15C" w14:textId="77777777" w:rsidR="00010E4F" w:rsidRPr="003E60ED" w:rsidRDefault="004B3A84" w:rsidP="00010E4F">
                      <w:pPr>
                        <w:spacing w:after="0"/>
                        <w:rPr>
                          <w:color w:val="0F243E" w:themeColor="text2" w:themeShade="80"/>
                          <w:sz w:val="18"/>
                          <w:szCs w:val="18"/>
                          <w:lang w:val="en-US"/>
                        </w:rPr>
                      </w:pPr>
                      <w:r w:rsidRPr="003E60ED">
                        <w:rPr>
                          <w:color w:val="0F243E" w:themeColor="text2" w:themeShade="80"/>
                          <w:sz w:val="18"/>
                          <w:szCs w:val="18"/>
                          <w:lang w:val="en-US"/>
                        </w:rPr>
                        <w:t xml:space="preserve">Since the guidance will be issued in concert with development and peacebuilding coordinating bodies (as well as with the Reference Group on the Humanitarian-Development Nexus), any guidance from the WG and its wish to be involved in the review and endorsement process would be appreciated. </w:t>
                      </w:r>
                    </w:p>
                    <w:p w14:paraId="3EE59402" w14:textId="59B0CDD2" w:rsidR="004B3A84" w:rsidRPr="00384FFB" w:rsidRDefault="004B3A84" w:rsidP="00010E4F">
                      <w:pPr>
                        <w:spacing w:after="0"/>
                        <w:rPr>
                          <w:i/>
                          <w:color w:val="0070C0"/>
                          <w:sz w:val="18"/>
                          <w:szCs w:val="18"/>
                          <w:lang w:val="en-US"/>
                        </w:rPr>
                      </w:pPr>
                      <w:r w:rsidRPr="00384FFB">
                        <w:rPr>
                          <w:rFonts w:ascii="Calibri" w:eastAsia="Times New Roman" w:hAnsi="Calibri" w:cs="Arial"/>
                          <w:b/>
                          <w:bCs/>
                          <w:color w:val="0070C0"/>
                          <w:sz w:val="18"/>
                          <w:szCs w:val="18"/>
                        </w:rPr>
                        <w:t>Further detail on how workstreams/products support or relate to either a WHS and/or GB commitment/workstream</w:t>
                      </w:r>
                      <w:r w:rsidRPr="00384FFB">
                        <w:rPr>
                          <w:i/>
                          <w:color w:val="0070C0"/>
                          <w:sz w:val="18"/>
                          <w:szCs w:val="18"/>
                          <w:lang w:val="en-US"/>
                        </w:rPr>
                        <w:t>.</w:t>
                      </w:r>
                    </w:p>
                    <w:p w14:paraId="2C6F0CBE" w14:textId="77777777" w:rsidR="004B3A84" w:rsidRPr="003E60ED" w:rsidRDefault="004B3A84" w:rsidP="00010E4F">
                      <w:pPr>
                        <w:spacing w:after="0" w:line="240" w:lineRule="auto"/>
                        <w:jc w:val="both"/>
                        <w:rPr>
                          <w:color w:val="0F243E" w:themeColor="text2" w:themeShade="80"/>
                          <w:sz w:val="18"/>
                          <w:szCs w:val="18"/>
                        </w:rPr>
                      </w:pPr>
                      <w:r w:rsidRPr="003E60ED">
                        <w:rPr>
                          <w:color w:val="0F243E" w:themeColor="text2" w:themeShade="80"/>
                          <w:sz w:val="18"/>
                          <w:szCs w:val="18"/>
                        </w:rPr>
                        <w:t xml:space="preserve">The guidance, once complete, is expected to address numerous WHS and GB priorities, in particular those relating to national leadership; engagement with and support to national civil society; greater focus on international support to systems that can facilitate improved enjoyment of rights and advances against SDG implementation strategies.  It will speak to the principle of Leave No One Behind, drawing on the 2030 Agenda and making the link to the ongoing update of the UNDAF guidance, which identifies IDPs as among those groups likely to be left behind if programming is not inclusive from the beginning. </w:t>
                      </w:r>
                    </w:p>
                    <w:p w14:paraId="2C19E184" w14:textId="77777777" w:rsidR="004B3A84" w:rsidRPr="003E60ED" w:rsidRDefault="004B3A84" w:rsidP="004B3A84">
                      <w:pPr>
                        <w:jc w:val="center"/>
                        <w:rPr>
                          <w:sz w:val="18"/>
                          <w:szCs w:val="18"/>
                        </w:rPr>
                      </w:pPr>
                    </w:p>
                  </w:txbxContent>
                </v:textbox>
                <w10:wrap anchorx="margin"/>
              </v:rect>
            </w:pict>
          </mc:Fallback>
        </mc:AlternateContent>
      </w:r>
    </w:p>
    <w:p w14:paraId="5960E1CF" w14:textId="376EF9A2" w:rsidR="00D064C8" w:rsidRDefault="00D064C8" w:rsidP="00843D0A">
      <w:pPr>
        <w:spacing w:after="0" w:line="240" w:lineRule="auto"/>
        <w:jc w:val="both"/>
        <w:rPr>
          <w:rFonts w:ascii="Calibri" w:eastAsia="Times New Roman" w:hAnsi="Calibri" w:cs="Arial"/>
          <w:b/>
          <w:bCs/>
          <w:color w:val="004080"/>
        </w:rPr>
      </w:pPr>
    </w:p>
    <w:p w14:paraId="74C3BA4E" w14:textId="64A08A87" w:rsidR="00D064C8" w:rsidRDefault="00D064C8" w:rsidP="00843D0A">
      <w:pPr>
        <w:spacing w:after="0" w:line="240" w:lineRule="auto"/>
        <w:jc w:val="both"/>
        <w:rPr>
          <w:rFonts w:ascii="Calibri" w:eastAsia="Times New Roman" w:hAnsi="Calibri" w:cs="Arial"/>
          <w:b/>
          <w:bCs/>
          <w:color w:val="004080"/>
        </w:rPr>
      </w:pPr>
    </w:p>
    <w:p w14:paraId="13CF490F" w14:textId="7F86BA63" w:rsidR="00D064C8" w:rsidRDefault="00D064C8" w:rsidP="00843D0A">
      <w:pPr>
        <w:spacing w:after="0" w:line="240" w:lineRule="auto"/>
        <w:jc w:val="both"/>
        <w:rPr>
          <w:rFonts w:ascii="Calibri" w:eastAsia="Times New Roman" w:hAnsi="Calibri" w:cs="Arial"/>
          <w:b/>
          <w:bCs/>
          <w:color w:val="004080"/>
        </w:rPr>
      </w:pPr>
    </w:p>
    <w:p w14:paraId="12328EB5" w14:textId="3289ACAC" w:rsidR="00D064C8" w:rsidRDefault="00D064C8" w:rsidP="00843D0A">
      <w:pPr>
        <w:spacing w:after="0" w:line="240" w:lineRule="auto"/>
        <w:jc w:val="both"/>
        <w:rPr>
          <w:rFonts w:ascii="Calibri" w:eastAsia="Times New Roman" w:hAnsi="Calibri" w:cs="Arial"/>
          <w:b/>
          <w:bCs/>
          <w:color w:val="004080"/>
        </w:rPr>
      </w:pPr>
    </w:p>
    <w:p w14:paraId="38996975" w14:textId="2B5A7AF4" w:rsidR="00D064C8" w:rsidRDefault="00D064C8" w:rsidP="00843D0A">
      <w:pPr>
        <w:spacing w:after="0" w:line="240" w:lineRule="auto"/>
        <w:jc w:val="both"/>
        <w:rPr>
          <w:rFonts w:ascii="Calibri" w:eastAsia="Times New Roman" w:hAnsi="Calibri" w:cs="Arial"/>
          <w:b/>
          <w:bCs/>
          <w:color w:val="004080"/>
        </w:rPr>
      </w:pPr>
    </w:p>
    <w:p w14:paraId="706F6DB7" w14:textId="6F722BF4" w:rsidR="00D064C8" w:rsidRDefault="00D064C8" w:rsidP="00843D0A">
      <w:pPr>
        <w:spacing w:after="0" w:line="240" w:lineRule="auto"/>
        <w:jc w:val="both"/>
        <w:rPr>
          <w:rFonts w:ascii="Calibri" w:eastAsia="Times New Roman" w:hAnsi="Calibri" w:cs="Arial"/>
          <w:b/>
          <w:bCs/>
          <w:color w:val="004080"/>
        </w:rPr>
      </w:pPr>
    </w:p>
    <w:p w14:paraId="7DD0F8DE" w14:textId="4C270B88" w:rsidR="00D064C8" w:rsidRDefault="00D064C8" w:rsidP="00843D0A">
      <w:pPr>
        <w:spacing w:after="0" w:line="240" w:lineRule="auto"/>
        <w:jc w:val="both"/>
        <w:rPr>
          <w:rFonts w:ascii="Calibri" w:eastAsia="Times New Roman" w:hAnsi="Calibri" w:cs="Arial"/>
          <w:b/>
          <w:bCs/>
          <w:color w:val="004080"/>
        </w:rPr>
      </w:pPr>
    </w:p>
    <w:p w14:paraId="54E8525C" w14:textId="4646C4E2" w:rsidR="00D064C8" w:rsidRDefault="00D064C8" w:rsidP="00843D0A">
      <w:pPr>
        <w:spacing w:after="0" w:line="240" w:lineRule="auto"/>
        <w:jc w:val="both"/>
        <w:rPr>
          <w:rFonts w:ascii="Calibri" w:eastAsia="Times New Roman" w:hAnsi="Calibri" w:cs="Arial"/>
          <w:b/>
          <w:bCs/>
          <w:color w:val="004080"/>
        </w:rPr>
      </w:pPr>
    </w:p>
    <w:p w14:paraId="6FAC7B0C" w14:textId="62C3443E" w:rsidR="00D064C8" w:rsidRDefault="00D064C8" w:rsidP="00843D0A">
      <w:pPr>
        <w:spacing w:after="0" w:line="240" w:lineRule="auto"/>
        <w:jc w:val="both"/>
        <w:rPr>
          <w:rFonts w:ascii="Calibri" w:eastAsia="Times New Roman" w:hAnsi="Calibri" w:cs="Arial"/>
          <w:b/>
          <w:bCs/>
          <w:color w:val="004080"/>
        </w:rPr>
      </w:pPr>
    </w:p>
    <w:p w14:paraId="46F95D37" w14:textId="3B662241" w:rsidR="00D064C8" w:rsidRDefault="00D064C8" w:rsidP="00843D0A">
      <w:pPr>
        <w:spacing w:after="0" w:line="240" w:lineRule="auto"/>
        <w:jc w:val="both"/>
        <w:rPr>
          <w:rFonts w:ascii="Calibri" w:eastAsia="Times New Roman" w:hAnsi="Calibri" w:cs="Arial"/>
          <w:b/>
          <w:bCs/>
          <w:color w:val="004080"/>
        </w:rPr>
      </w:pPr>
    </w:p>
    <w:p w14:paraId="6779E982" w14:textId="2A5D4A60" w:rsidR="00D064C8" w:rsidRDefault="00D064C8" w:rsidP="00843D0A">
      <w:pPr>
        <w:spacing w:after="0" w:line="240" w:lineRule="auto"/>
        <w:jc w:val="both"/>
        <w:rPr>
          <w:rFonts w:ascii="Calibri" w:eastAsia="Times New Roman" w:hAnsi="Calibri" w:cs="Arial"/>
          <w:b/>
          <w:bCs/>
          <w:color w:val="004080"/>
        </w:rPr>
      </w:pPr>
    </w:p>
    <w:p w14:paraId="4B001AF5" w14:textId="03F1E09F" w:rsidR="00D064C8" w:rsidRDefault="00D064C8" w:rsidP="00843D0A">
      <w:pPr>
        <w:spacing w:after="0" w:line="240" w:lineRule="auto"/>
        <w:jc w:val="both"/>
        <w:rPr>
          <w:rFonts w:ascii="Calibri" w:eastAsia="Times New Roman" w:hAnsi="Calibri" w:cs="Arial"/>
          <w:b/>
          <w:bCs/>
          <w:color w:val="004080"/>
        </w:rPr>
      </w:pPr>
    </w:p>
    <w:p w14:paraId="5E171712" w14:textId="09EB8933" w:rsidR="00D064C8" w:rsidRDefault="00D064C8" w:rsidP="00843D0A">
      <w:pPr>
        <w:spacing w:after="0" w:line="240" w:lineRule="auto"/>
        <w:jc w:val="both"/>
        <w:rPr>
          <w:rFonts w:ascii="Calibri" w:eastAsia="Times New Roman" w:hAnsi="Calibri" w:cs="Arial"/>
          <w:b/>
          <w:bCs/>
          <w:color w:val="004080"/>
        </w:rPr>
      </w:pPr>
    </w:p>
    <w:p w14:paraId="36DD0739" w14:textId="316B9972" w:rsidR="00D064C8" w:rsidRDefault="00D064C8" w:rsidP="00843D0A">
      <w:pPr>
        <w:spacing w:after="0" w:line="240" w:lineRule="auto"/>
        <w:jc w:val="both"/>
        <w:rPr>
          <w:rFonts w:ascii="Calibri" w:eastAsia="Times New Roman" w:hAnsi="Calibri" w:cs="Arial"/>
          <w:b/>
          <w:bCs/>
          <w:color w:val="004080"/>
        </w:rPr>
      </w:pPr>
    </w:p>
    <w:p w14:paraId="586AEEF2" w14:textId="17167319" w:rsidR="00D064C8" w:rsidRDefault="00D064C8" w:rsidP="00843D0A">
      <w:pPr>
        <w:spacing w:after="0" w:line="240" w:lineRule="auto"/>
        <w:jc w:val="both"/>
        <w:rPr>
          <w:rFonts w:ascii="Calibri" w:eastAsia="Times New Roman" w:hAnsi="Calibri" w:cs="Arial"/>
          <w:b/>
          <w:bCs/>
          <w:color w:val="004080"/>
        </w:rPr>
      </w:pPr>
    </w:p>
    <w:p w14:paraId="195DA092" w14:textId="20CEE190" w:rsidR="00D064C8" w:rsidRDefault="00D064C8" w:rsidP="00843D0A">
      <w:pPr>
        <w:spacing w:after="0" w:line="240" w:lineRule="auto"/>
        <w:jc w:val="both"/>
        <w:rPr>
          <w:rFonts w:ascii="Calibri" w:eastAsia="Times New Roman" w:hAnsi="Calibri" w:cs="Arial"/>
          <w:b/>
          <w:bCs/>
          <w:color w:val="004080"/>
        </w:rPr>
      </w:pPr>
    </w:p>
    <w:p w14:paraId="37E5AEAC" w14:textId="23CA9C97" w:rsidR="00D064C8" w:rsidRDefault="00D064C8" w:rsidP="00843D0A">
      <w:pPr>
        <w:spacing w:after="0" w:line="240" w:lineRule="auto"/>
        <w:jc w:val="both"/>
        <w:rPr>
          <w:rFonts w:ascii="Calibri" w:eastAsia="Times New Roman" w:hAnsi="Calibri" w:cs="Arial"/>
          <w:b/>
          <w:bCs/>
          <w:color w:val="004080"/>
        </w:rPr>
      </w:pPr>
    </w:p>
    <w:p w14:paraId="016AC7B7" w14:textId="295D643D" w:rsidR="00D064C8" w:rsidRDefault="00D064C8" w:rsidP="00843D0A">
      <w:pPr>
        <w:spacing w:after="0" w:line="240" w:lineRule="auto"/>
        <w:jc w:val="both"/>
        <w:rPr>
          <w:rFonts w:ascii="Calibri" w:eastAsia="Times New Roman" w:hAnsi="Calibri" w:cs="Arial"/>
          <w:b/>
          <w:bCs/>
          <w:color w:val="004080"/>
        </w:rPr>
      </w:pPr>
    </w:p>
    <w:p w14:paraId="787C790A" w14:textId="6926EBCB" w:rsidR="00D064C8" w:rsidRDefault="00D064C8" w:rsidP="00843D0A">
      <w:pPr>
        <w:spacing w:after="0" w:line="240" w:lineRule="auto"/>
        <w:jc w:val="both"/>
        <w:rPr>
          <w:rFonts w:ascii="Calibri" w:eastAsia="Times New Roman" w:hAnsi="Calibri" w:cs="Arial"/>
          <w:b/>
          <w:bCs/>
          <w:color w:val="004080"/>
        </w:rPr>
      </w:pPr>
    </w:p>
    <w:p w14:paraId="667BA1EB" w14:textId="49154088" w:rsidR="007471E2" w:rsidRDefault="007471E2" w:rsidP="00843D0A">
      <w:pPr>
        <w:spacing w:after="0" w:line="240" w:lineRule="auto"/>
        <w:jc w:val="both"/>
        <w:rPr>
          <w:rFonts w:ascii="Calibri" w:eastAsia="Times New Roman" w:hAnsi="Calibri" w:cs="Arial"/>
          <w:b/>
          <w:bCs/>
          <w:color w:val="004080"/>
        </w:rPr>
      </w:pPr>
    </w:p>
    <w:p w14:paraId="2FFF9076" w14:textId="241FC36A" w:rsidR="007471E2" w:rsidRDefault="007471E2" w:rsidP="00843D0A">
      <w:pPr>
        <w:spacing w:after="0" w:line="240" w:lineRule="auto"/>
        <w:jc w:val="both"/>
        <w:rPr>
          <w:rFonts w:ascii="Calibri" w:eastAsia="Times New Roman" w:hAnsi="Calibri" w:cs="Arial"/>
          <w:b/>
          <w:bCs/>
          <w:color w:val="004080"/>
        </w:rPr>
      </w:pPr>
    </w:p>
    <w:p w14:paraId="7A55BB68" w14:textId="4158BFC5" w:rsidR="007471E2" w:rsidRDefault="007471E2" w:rsidP="00843D0A">
      <w:pPr>
        <w:spacing w:after="0" w:line="240" w:lineRule="auto"/>
        <w:jc w:val="both"/>
        <w:rPr>
          <w:rFonts w:ascii="Calibri" w:eastAsia="Times New Roman" w:hAnsi="Calibri" w:cs="Arial"/>
          <w:b/>
          <w:bCs/>
          <w:color w:val="004080"/>
        </w:rPr>
      </w:pPr>
    </w:p>
    <w:p w14:paraId="46037BFE" w14:textId="41BE161E" w:rsidR="007471E2" w:rsidRDefault="007471E2" w:rsidP="00843D0A">
      <w:pPr>
        <w:spacing w:after="0" w:line="240" w:lineRule="auto"/>
        <w:jc w:val="both"/>
        <w:rPr>
          <w:rFonts w:ascii="Calibri" w:eastAsia="Times New Roman" w:hAnsi="Calibri" w:cs="Arial"/>
          <w:b/>
          <w:bCs/>
          <w:color w:val="004080"/>
        </w:rPr>
      </w:pPr>
    </w:p>
    <w:p w14:paraId="0EB898D1" w14:textId="10DBE711" w:rsidR="007471E2" w:rsidRDefault="007471E2" w:rsidP="00843D0A">
      <w:pPr>
        <w:spacing w:after="0" w:line="240" w:lineRule="auto"/>
        <w:jc w:val="both"/>
        <w:rPr>
          <w:rFonts w:ascii="Calibri" w:eastAsia="Times New Roman" w:hAnsi="Calibri" w:cs="Arial"/>
          <w:b/>
          <w:bCs/>
          <w:color w:val="004080"/>
        </w:rPr>
      </w:pPr>
    </w:p>
    <w:p w14:paraId="5ACB3FB9" w14:textId="4783EA5A" w:rsidR="007471E2" w:rsidRDefault="007471E2" w:rsidP="00843D0A">
      <w:pPr>
        <w:spacing w:after="0" w:line="240" w:lineRule="auto"/>
        <w:jc w:val="both"/>
        <w:rPr>
          <w:rFonts w:ascii="Calibri" w:eastAsia="Times New Roman" w:hAnsi="Calibri" w:cs="Arial"/>
          <w:b/>
          <w:bCs/>
          <w:color w:val="004080"/>
        </w:rPr>
      </w:pPr>
    </w:p>
    <w:p w14:paraId="42588615" w14:textId="794DB1D4" w:rsidR="007471E2" w:rsidRDefault="007471E2" w:rsidP="00843D0A">
      <w:pPr>
        <w:spacing w:after="0" w:line="240" w:lineRule="auto"/>
        <w:jc w:val="both"/>
        <w:rPr>
          <w:rFonts w:ascii="Calibri" w:eastAsia="Times New Roman" w:hAnsi="Calibri" w:cs="Arial"/>
          <w:b/>
          <w:bCs/>
          <w:color w:val="004080"/>
        </w:rPr>
      </w:pPr>
    </w:p>
    <w:p w14:paraId="7A85F47C" w14:textId="34AC0E9F" w:rsidR="00DB5344" w:rsidRPr="00127000" w:rsidRDefault="00384FFB" w:rsidP="00127000">
      <w:pPr>
        <w:spacing w:after="0" w:line="240" w:lineRule="auto"/>
        <w:jc w:val="both"/>
        <w:rPr>
          <w:rFonts w:ascii="Calibri" w:eastAsia="Times New Roman" w:hAnsi="Calibri" w:cs="Arial"/>
          <w:b/>
          <w:bCs/>
          <w:color w:val="004080"/>
        </w:rPr>
      </w:pPr>
      <w:r>
        <w:rPr>
          <w:rFonts w:ascii="Calibri" w:eastAsia="Calibri" w:hAnsi="Calibri" w:cs="Times New Roman"/>
          <w:b/>
          <w:smallCaps/>
          <w:noProof/>
          <w:color w:val="1F497D"/>
          <w:sz w:val="28"/>
          <w:szCs w:val="28"/>
          <w:lang w:eastAsia="zh-CN"/>
        </w:rPr>
        <mc:AlternateContent>
          <mc:Choice Requires="wps">
            <w:drawing>
              <wp:anchor distT="0" distB="0" distL="114300" distR="114300" simplePos="0" relativeHeight="251660288" behindDoc="0" locked="0" layoutInCell="1" allowOverlap="1" wp14:anchorId="40B9F583" wp14:editId="03396293">
                <wp:simplePos x="0" y="0"/>
                <wp:positionH relativeFrom="margin">
                  <wp:posOffset>-1270</wp:posOffset>
                </wp:positionH>
                <wp:positionV relativeFrom="paragraph">
                  <wp:posOffset>128905</wp:posOffset>
                </wp:positionV>
                <wp:extent cx="7172325" cy="990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172325" cy="990600"/>
                        </a:xfrm>
                        <a:prstGeom prst="rect">
                          <a:avLst/>
                        </a:prstGeom>
                        <a:solidFill>
                          <a:schemeClr val="accent5">
                            <a:lumMod val="20000"/>
                            <a:lumOff val="80000"/>
                          </a:schemeClr>
                        </a:solid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DD130" w14:textId="44E3F488" w:rsidR="007471E2" w:rsidRPr="00010E4F" w:rsidRDefault="007471E2" w:rsidP="00D064C8">
                            <w:pPr>
                              <w:spacing w:after="0" w:line="240" w:lineRule="auto"/>
                              <w:jc w:val="both"/>
                              <w:rPr>
                                <w:color w:val="0F243E" w:themeColor="text2" w:themeShade="80"/>
                                <w:sz w:val="16"/>
                                <w:szCs w:val="16"/>
                                <w:lang w:val="en-US"/>
                              </w:rPr>
                            </w:pPr>
                            <w:r w:rsidRPr="00010E4F">
                              <w:rPr>
                                <w:rFonts w:ascii="Calibri" w:eastAsia="Times New Roman" w:hAnsi="Calibri" w:cs="Arial"/>
                                <w:b/>
                                <w:bCs/>
                                <w:color w:val="0F243E" w:themeColor="text2" w:themeShade="80"/>
                                <w:sz w:val="16"/>
                                <w:szCs w:val="16"/>
                                <w:u w:val="single"/>
                              </w:rPr>
                              <w:t>Co-Chairs</w:t>
                            </w:r>
                            <w:r w:rsidRPr="00010E4F">
                              <w:rPr>
                                <w:rFonts w:ascii="Calibri" w:eastAsia="Times New Roman" w:hAnsi="Calibri" w:cs="Arial"/>
                                <w:b/>
                                <w:bCs/>
                                <w:color w:val="0F243E" w:themeColor="text2" w:themeShade="80"/>
                                <w:sz w:val="16"/>
                                <w:szCs w:val="16"/>
                              </w:rPr>
                              <w:t>:</w:t>
                            </w:r>
                            <w:r w:rsidRPr="00010E4F">
                              <w:rPr>
                                <w:color w:val="0F243E" w:themeColor="text2" w:themeShade="80"/>
                                <w:sz w:val="16"/>
                                <w:szCs w:val="16"/>
                                <w:lang w:val="en-US"/>
                              </w:rPr>
                              <w:t xml:space="preserve"> Glaucia Boyer, (UNDP) and Jackie Keegan (UNHCR), both have served since inception. </w:t>
                            </w:r>
                          </w:p>
                          <w:p w14:paraId="514A6A1B" w14:textId="2FDCCE52" w:rsidR="007471E2" w:rsidRPr="00010E4F" w:rsidRDefault="007471E2" w:rsidP="00D064C8">
                            <w:pPr>
                              <w:spacing w:after="0" w:line="240" w:lineRule="auto"/>
                              <w:rPr>
                                <w:i/>
                                <w:color w:val="0F243E" w:themeColor="text2" w:themeShade="80"/>
                                <w:sz w:val="16"/>
                                <w:szCs w:val="16"/>
                                <w:lang w:val="en-US"/>
                              </w:rPr>
                            </w:pPr>
                            <w:r w:rsidRPr="00010E4F">
                              <w:rPr>
                                <w:rFonts w:ascii="Calibri" w:eastAsia="Times New Roman" w:hAnsi="Calibri" w:cs="Arial"/>
                                <w:b/>
                                <w:bCs/>
                                <w:color w:val="0F243E" w:themeColor="text2" w:themeShade="80"/>
                                <w:sz w:val="16"/>
                                <w:szCs w:val="16"/>
                                <w:u w:val="single"/>
                              </w:rPr>
                              <w:t>WG Sponsors</w:t>
                            </w:r>
                            <w:r w:rsidRPr="00010E4F">
                              <w:rPr>
                                <w:rFonts w:ascii="Calibri" w:eastAsia="Times New Roman" w:hAnsi="Calibri" w:cs="Arial"/>
                                <w:b/>
                                <w:bCs/>
                                <w:color w:val="0F243E" w:themeColor="text2" w:themeShade="80"/>
                                <w:sz w:val="16"/>
                                <w:szCs w:val="16"/>
                              </w:rPr>
                              <w:t>:</w:t>
                            </w:r>
                            <w:r w:rsidR="00D064C8" w:rsidRPr="00010E4F">
                              <w:rPr>
                                <w:color w:val="0F243E" w:themeColor="text2" w:themeShade="80"/>
                                <w:sz w:val="16"/>
                                <w:szCs w:val="16"/>
                                <w:lang w:val="en-US"/>
                              </w:rPr>
                              <w:t xml:space="preserve"> </w:t>
                            </w:r>
                            <w:r w:rsidRPr="00010E4F">
                              <w:rPr>
                                <w:i/>
                                <w:color w:val="0F243E" w:themeColor="text2" w:themeShade="80"/>
                                <w:sz w:val="16"/>
                                <w:szCs w:val="16"/>
                                <w:lang w:val="en-US"/>
                              </w:rPr>
                              <w:t xml:space="preserve">Izumi Nakamitsu, (UNDP) </w:t>
                            </w:r>
                            <w:r w:rsidRPr="00010E4F">
                              <w:rPr>
                                <w:iCs/>
                                <w:color w:val="0F243E" w:themeColor="text2" w:themeShade="80"/>
                                <w:sz w:val="16"/>
                                <w:szCs w:val="16"/>
                                <w:lang w:val="en-US"/>
                              </w:rPr>
                              <w:t xml:space="preserve">and </w:t>
                            </w:r>
                            <w:r w:rsidRPr="00010E4F">
                              <w:rPr>
                                <w:i/>
                                <w:color w:val="0F243E" w:themeColor="text2" w:themeShade="80"/>
                                <w:sz w:val="16"/>
                                <w:szCs w:val="16"/>
                                <w:lang w:val="en-US"/>
                              </w:rPr>
                              <w:t>Kelly T. Clements (UNHCR)</w:t>
                            </w:r>
                          </w:p>
                          <w:p w14:paraId="4B7D6268" w14:textId="0498BCF7" w:rsidR="007471E2" w:rsidRDefault="007471E2" w:rsidP="007471E2">
                            <w:pPr>
                              <w:spacing w:after="0" w:line="240" w:lineRule="auto"/>
                              <w:rPr>
                                <w:rFonts w:ascii="Verdana" w:hAnsi="Verdana"/>
                                <w:color w:val="0F243E" w:themeColor="text2" w:themeShade="80"/>
                                <w:sz w:val="16"/>
                                <w:szCs w:val="16"/>
                                <w:shd w:val="clear" w:color="auto" w:fill="FFFFFF"/>
                              </w:rPr>
                            </w:pPr>
                            <w:r w:rsidRPr="00010E4F">
                              <w:rPr>
                                <w:color w:val="0F243E" w:themeColor="text2" w:themeShade="80"/>
                                <w:sz w:val="16"/>
                                <w:szCs w:val="16"/>
                                <w:lang w:val="en-US"/>
                              </w:rPr>
                              <w:t>The Reference Group also has ‘champions’: Chaloka Beyani, UN Special rapporteur on the human rights of IDPs (From June 2016 – 31 October 2016); Cecilia Jiminez-Damary, UN Special rapporteur on the human rights of IDPs (From October 2016 to present)</w:t>
                            </w:r>
                            <w:r w:rsidRPr="00010E4F">
                              <w:rPr>
                                <w:rFonts w:ascii="Verdana" w:hAnsi="Verdana"/>
                                <w:color w:val="0F243E" w:themeColor="text2" w:themeShade="80"/>
                                <w:sz w:val="16"/>
                                <w:szCs w:val="16"/>
                                <w:shd w:val="clear" w:color="auto" w:fill="FFFFFF"/>
                              </w:rPr>
                              <w:t xml:space="preserve"> </w:t>
                            </w:r>
                          </w:p>
                          <w:p w14:paraId="7F165BAB" w14:textId="468390EC" w:rsidR="00384FFB" w:rsidRPr="00010E4F" w:rsidRDefault="007471E2" w:rsidP="00384FFB">
                            <w:pPr>
                              <w:spacing w:after="0" w:line="240" w:lineRule="auto"/>
                              <w:jc w:val="both"/>
                              <w:rPr>
                                <w:color w:val="0F243E" w:themeColor="text2" w:themeShade="80"/>
                                <w:sz w:val="16"/>
                                <w:szCs w:val="16"/>
                                <w:lang w:val="en-US"/>
                              </w:rPr>
                            </w:pPr>
                            <w:r w:rsidRPr="00010E4F">
                              <w:rPr>
                                <w:b/>
                                <w:color w:val="0F243E" w:themeColor="text2" w:themeShade="80"/>
                                <w:sz w:val="16"/>
                                <w:szCs w:val="16"/>
                                <w:u w:val="single"/>
                                <w:lang w:val="en-US"/>
                              </w:rPr>
                              <w:t>Secretariat Support</w:t>
                            </w:r>
                            <w:r w:rsidRPr="00010E4F">
                              <w:rPr>
                                <w:b/>
                                <w:color w:val="0F243E" w:themeColor="text2" w:themeShade="80"/>
                                <w:sz w:val="16"/>
                                <w:szCs w:val="16"/>
                                <w:lang w:val="en-US"/>
                              </w:rPr>
                              <w:t xml:space="preserve">: </w:t>
                            </w:r>
                            <w:r w:rsidRPr="00010E4F">
                              <w:rPr>
                                <w:color w:val="0F243E" w:themeColor="text2" w:themeShade="80"/>
                                <w:sz w:val="16"/>
                                <w:szCs w:val="16"/>
                                <w:lang w:val="en-US"/>
                              </w:rPr>
                              <w:t>UNHCR and UNDP have played the role of secretariat.</w:t>
                            </w:r>
                          </w:p>
                          <w:p w14:paraId="2917D79E" w14:textId="2644C778" w:rsidR="007471E2" w:rsidRPr="00010E4F" w:rsidRDefault="007471E2" w:rsidP="00D064C8">
                            <w:pPr>
                              <w:spacing w:after="0" w:line="240" w:lineRule="auto"/>
                              <w:jc w:val="both"/>
                              <w:rPr>
                                <w:rFonts w:ascii="Calibri" w:eastAsia="Times New Roman" w:hAnsi="Calibri" w:cs="Arial"/>
                                <w:bCs/>
                                <w:color w:val="0F243E" w:themeColor="text2" w:themeShade="80"/>
                                <w:sz w:val="16"/>
                                <w:szCs w:val="16"/>
                              </w:rPr>
                            </w:pPr>
                            <w:r w:rsidRPr="00010E4F">
                              <w:rPr>
                                <w:rFonts w:ascii="Calibri" w:eastAsia="Times New Roman" w:hAnsi="Calibri" w:cs="Arial"/>
                                <w:b/>
                                <w:bCs/>
                                <w:color w:val="0F243E" w:themeColor="text2" w:themeShade="80"/>
                                <w:sz w:val="16"/>
                                <w:szCs w:val="16"/>
                                <w:u w:val="single"/>
                              </w:rPr>
                              <w:t>Composition of the Reference Group</w:t>
                            </w:r>
                            <w:r w:rsidRPr="00010E4F">
                              <w:rPr>
                                <w:rFonts w:ascii="Calibri" w:eastAsia="Times New Roman" w:hAnsi="Calibri" w:cs="Arial"/>
                                <w:b/>
                                <w:bCs/>
                                <w:color w:val="0F243E" w:themeColor="text2" w:themeShade="80"/>
                                <w:sz w:val="16"/>
                                <w:szCs w:val="16"/>
                              </w:rPr>
                              <w:t>:</w:t>
                            </w:r>
                            <w:r w:rsidRPr="00010E4F">
                              <w:rPr>
                                <w:rFonts w:ascii="Calibri" w:eastAsia="Times New Roman" w:hAnsi="Calibri" w:cs="Arial"/>
                                <w:bCs/>
                                <w:color w:val="0F243E" w:themeColor="text2" w:themeShade="80"/>
                                <w:sz w:val="16"/>
                                <w:szCs w:val="16"/>
                              </w:rPr>
                              <w:t xml:space="preserve"> </w:t>
                            </w:r>
                            <w:r w:rsidRPr="00010E4F">
                              <w:rPr>
                                <w:color w:val="0F243E" w:themeColor="text2" w:themeShade="80"/>
                                <w:sz w:val="16"/>
                                <w:szCs w:val="16"/>
                              </w:rPr>
                              <w:t>FAO; ILO; OCHA; Solutions Alliance Secretariat; WFP; IRC; UNICEF; IOM; JIPS; IDMC; IASC Secretariat; Graduate Institute IHEID; Global Protection Cluster; Global Cluster for Early Recovery; UNEP; WHO; IRC; Interaction.</w:t>
                            </w:r>
                          </w:p>
                          <w:p w14:paraId="1756A0B7" w14:textId="77777777" w:rsidR="007471E2" w:rsidRDefault="007471E2" w:rsidP="007471E2">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9F583" id="Rectangle 2" o:spid="_x0000_s1031" style="position:absolute;left:0;text-align:left;margin-left:-.1pt;margin-top:10.15pt;width:564.75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lbxwIAAEEGAAAOAAAAZHJzL2Uyb0RvYy54bWysVMlu2zAQvRfoPxC8N1piZxEiB0aCFAXS&#10;JkhS5ExTpC2AW0nakvv1HZKSsjaHoheJnO3NPM7M2XkvBdox61qtalwc5BgxRXXTqnWNfz5cfTnB&#10;yHmiGiK0YjXeM4fPF58/nXWmYqXeaNEwiyCIclVnarzx3lRZ5uiGSeIOtGEKlFxbSTxc7TprLOkg&#10;uhRZmedHWadtY6ymzDmQXiYlXsT4nDPqbzh3zCNRY8jNx6+N31X4ZoszUq0tMZuWDmmQf8hCklYB&#10;6BTqkniCtrZ9E0q21GqnuT+gWmaa85ayWANUU+SvqrnfEMNiLUCOMxNN7v+FpT92txa1TY1LjBSR&#10;8ER3QBpRa8FQGejpjKvA6t7c2uHm4Bhq7bmV4Q9VoD5Sup8oZb1HFITHxXF5WM4xoqA7Pc2P8sh5&#10;9uRtrPNfmZYoHGpsAT0ySXbXzgMimI4mAcxp0TZXrRDxEtqEXQiLdgQemFDKlJ9Hd7GV33WT5NAo&#10;CZZUIIaGSOKTUQwQseFCpAj4AkQo1NX46HCex8AvdJNbiuj78g04VPwe+GwUfwQOOqEgo/AGifV4&#10;8nvBQvlC3TEOjwc8J9xX6SQ+ipT2hjQsZTn/K3QMGCJzIHiKPQR4j+sidAhkOdgHVxanbnIeSPvI&#10;efKIyFr5yVm2StuU/ssAwk/IyX4kKVETWPL9qo+NPR+7eKWbPTS71WkLOEOvWui5a+L8LbEw9rAg&#10;YJX5G/hwoeHR9XDCaKPt7/fkwR6mEbQYdbBGaux+bYllGIlvCub0tJjNwt6Jl9n8uISLfa5ZPdeo&#10;rbzQ0MgFLE1D4zHYezEeudXyETbeMqCCiigK2DWm3o6XC5/WG+xMypbLaAa7xhB/re4NDcEDz2Gm&#10;HvpHYs0weB5G9oceVw6pXs1fsg2eSi+3XvM2DmdgOvE6vADsqdgRw04Ni/D5PVo9bf7FHwAAAP//&#10;AwBQSwMEFAAGAAgAAAAhAKVyQRjeAAAACQEAAA8AAABkcnMvZG93bnJldi54bWxMj81OwzAQhO9I&#10;vIO1SNxa5weFNsSpEIgDBw4UDuXmxkscEa+D7bbh7dme4DarGc1+02xmN4ojhjh4UpAvMxBInTcD&#10;9Qre354WKxAxaTJ69IQKfjDCpr28aHRt/Ile8bhNveASirVWYFOaailjZ9HpuPQTEnufPjid+Ay9&#10;NEGfuNyNssiySjo9EH+wesIHi93X9uAUrPQut1Mon/3j+sZ/VP1Ofr94pa6v5vs7EAnn9BeGMz6j&#10;Q8tMe38gE8WoYFFwUEGRlSDOdl6sWe1Z3VYlyLaR/xe0vwAAAP//AwBQSwECLQAUAAYACAAAACEA&#10;toM4kv4AAADhAQAAEwAAAAAAAAAAAAAAAAAAAAAAW0NvbnRlbnRfVHlwZXNdLnhtbFBLAQItABQA&#10;BgAIAAAAIQA4/SH/1gAAAJQBAAALAAAAAAAAAAAAAAAAAC8BAABfcmVscy8ucmVsc1BLAQItABQA&#10;BgAIAAAAIQBi13lbxwIAAEEGAAAOAAAAAAAAAAAAAAAAAC4CAABkcnMvZTJvRG9jLnhtbFBLAQIt&#10;ABQABgAIAAAAIQClckEY3gAAAAkBAAAPAAAAAAAAAAAAAAAAACEFAABkcnMvZG93bnJldi54bWxQ&#10;SwUGAAAAAAQABADzAAAALAYAAAAA&#10;" fillcolor="#daeef3 [664]" strokecolor="#548dd4 [1951]" strokeweight=".5pt">
                <v:textbox>
                  <w:txbxContent>
                    <w:p w14:paraId="78DDD130" w14:textId="44E3F488" w:rsidR="007471E2" w:rsidRPr="00010E4F" w:rsidRDefault="007471E2" w:rsidP="00D064C8">
                      <w:pPr>
                        <w:spacing w:after="0" w:line="240" w:lineRule="auto"/>
                        <w:jc w:val="both"/>
                        <w:rPr>
                          <w:color w:val="0F243E" w:themeColor="text2" w:themeShade="80"/>
                          <w:sz w:val="16"/>
                          <w:szCs w:val="16"/>
                          <w:lang w:val="en-US"/>
                        </w:rPr>
                      </w:pPr>
                      <w:r w:rsidRPr="00010E4F">
                        <w:rPr>
                          <w:rFonts w:ascii="Calibri" w:eastAsia="Times New Roman" w:hAnsi="Calibri" w:cs="Arial"/>
                          <w:b/>
                          <w:bCs/>
                          <w:color w:val="0F243E" w:themeColor="text2" w:themeShade="80"/>
                          <w:sz w:val="16"/>
                          <w:szCs w:val="16"/>
                          <w:u w:val="single"/>
                        </w:rPr>
                        <w:t>Co-Chairs</w:t>
                      </w:r>
                      <w:r w:rsidRPr="00010E4F">
                        <w:rPr>
                          <w:rFonts w:ascii="Calibri" w:eastAsia="Times New Roman" w:hAnsi="Calibri" w:cs="Arial"/>
                          <w:b/>
                          <w:bCs/>
                          <w:color w:val="0F243E" w:themeColor="text2" w:themeShade="80"/>
                          <w:sz w:val="16"/>
                          <w:szCs w:val="16"/>
                        </w:rPr>
                        <w:t>:</w:t>
                      </w:r>
                      <w:r w:rsidRPr="00010E4F">
                        <w:rPr>
                          <w:color w:val="0F243E" w:themeColor="text2" w:themeShade="80"/>
                          <w:sz w:val="16"/>
                          <w:szCs w:val="16"/>
                          <w:lang w:val="en-US"/>
                        </w:rPr>
                        <w:t xml:space="preserve"> Glaucia Boyer, (UNDP) and Jackie Keegan (UNHCR), both have served since inception. </w:t>
                      </w:r>
                    </w:p>
                    <w:p w14:paraId="514A6A1B" w14:textId="2FDCCE52" w:rsidR="007471E2" w:rsidRPr="00010E4F" w:rsidRDefault="007471E2" w:rsidP="00D064C8">
                      <w:pPr>
                        <w:spacing w:after="0" w:line="240" w:lineRule="auto"/>
                        <w:rPr>
                          <w:i/>
                          <w:color w:val="0F243E" w:themeColor="text2" w:themeShade="80"/>
                          <w:sz w:val="16"/>
                          <w:szCs w:val="16"/>
                          <w:lang w:val="en-US"/>
                        </w:rPr>
                      </w:pPr>
                      <w:r w:rsidRPr="00010E4F">
                        <w:rPr>
                          <w:rFonts w:ascii="Calibri" w:eastAsia="Times New Roman" w:hAnsi="Calibri" w:cs="Arial"/>
                          <w:b/>
                          <w:bCs/>
                          <w:color w:val="0F243E" w:themeColor="text2" w:themeShade="80"/>
                          <w:sz w:val="16"/>
                          <w:szCs w:val="16"/>
                          <w:u w:val="single"/>
                        </w:rPr>
                        <w:t>WG Sponsors</w:t>
                      </w:r>
                      <w:r w:rsidRPr="00010E4F">
                        <w:rPr>
                          <w:rFonts w:ascii="Calibri" w:eastAsia="Times New Roman" w:hAnsi="Calibri" w:cs="Arial"/>
                          <w:b/>
                          <w:bCs/>
                          <w:color w:val="0F243E" w:themeColor="text2" w:themeShade="80"/>
                          <w:sz w:val="16"/>
                          <w:szCs w:val="16"/>
                        </w:rPr>
                        <w:t>:</w:t>
                      </w:r>
                      <w:r w:rsidR="00D064C8" w:rsidRPr="00010E4F">
                        <w:rPr>
                          <w:color w:val="0F243E" w:themeColor="text2" w:themeShade="80"/>
                          <w:sz w:val="16"/>
                          <w:szCs w:val="16"/>
                          <w:lang w:val="en-US"/>
                        </w:rPr>
                        <w:t xml:space="preserve"> </w:t>
                      </w:r>
                      <w:r w:rsidRPr="00010E4F">
                        <w:rPr>
                          <w:i/>
                          <w:color w:val="0F243E" w:themeColor="text2" w:themeShade="80"/>
                          <w:sz w:val="16"/>
                          <w:szCs w:val="16"/>
                          <w:lang w:val="en-US"/>
                        </w:rPr>
                        <w:t xml:space="preserve">Izumi Nakamitsu, (UNDP) </w:t>
                      </w:r>
                      <w:r w:rsidRPr="00010E4F">
                        <w:rPr>
                          <w:iCs/>
                          <w:color w:val="0F243E" w:themeColor="text2" w:themeShade="80"/>
                          <w:sz w:val="16"/>
                          <w:szCs w:val="16"/>
                          <w:lang w:val="en-US"/>
                        </w:rPr>
                        <w:t xml:space="preserve">and </w:t>
                      </w:r>
                      <w:r w:rsidRPr="00010E4F">
                        <w:rPr>
                          <w:i/>
                          <w:color w:val="0F243E" w:themeColor="text2" w:themeShade="80"/>
                          <w:sz w:val="16"/>
                          <w:szCs w:val="16"/>
                          <w:lang w:val="en-US"/>
                        </w:rPr>
                        <w:t>Kelly T. Clements (UNHCR)</w:t>
                      </w:r>
                    </w:p>
                    <w:p w14:paraId="4B7D6268" w14:textId="0498BCF7" w:rsidR="007471E2" w:rsidRDefault="007471E2" w:rsidP="007471E2">
                      <w:pPr>
                        <w:spacing w:after="0" w:line="240" w:lineRule="auto"/>
                        <w:rPr>
                          <w:rFonts w:ascii="Verdana" w:hAnsi="Verdana"/>
                          <w:color w:val="0F243E" w:themeColor="text2" w:themeShade="80"/>
                          <w:sz w:val="16"/>
                          <w:szCs w:val="16"/>
                          <w:shd w:val="clear" w:color="auto" w:fill="FFFFFF"/>
                        </w:rPr>
                      </w:pPr>
                      <w:r w:rsidRPr="00010E4F">
                        <w:rPr>
                          <w:color w:val="0F243E" w:themeColor="text2" w:themeShade="80"/>
                          <w:sz w:val="16"/>
                          <w:szCs w:val="16"/>
                          <w:lang w:val="en-US"/>
                        </w:rPr>
                        <w:t>The Reference Group also has ‘champions’: Chaloka Beyani, UN Special rapporteur on the human rights of IDPs (From June 2016 – 31 October 2016); Cecilia Jiminez-Damary, UN Special rapporteur on the human rights of IDPs (From October 2016 to present)</w:t>
                      </w:r>
                      <w:r w:rsidRPr="00010E4F">
                        <w:rPr>
                          <w:rFonts w:ascii="Verdana" w:hAnsi="Verdana"/>
                          <w:color w:val="0F243E" w:themeColor="text2" w:themeShade="80"/>
                          <w:sz w:val="16"/>
                          <w:szCs w:val="16"/>
                          <w:shd w:val="clear" w:color="auto" w:fill="FFFFFF"/>
                        </w:rPr>
                        <w:t xml:space="preserve"> </w:t>
                      </w:r>
                    </w:p>
                    <w:p w14:paraId="7F165BAB" w14:textId="468390EC" w:rsidR="00384FFB" w:rsidRPr="00010E4F" w:rsidRDefault="007471E2" w:rsidP="00384FFB">
                      <w:pPr>
                        <w:spacing w:after="0" w:line="240" w:lineRule="auto"/>
                        <w:jc w:val="both"/>
                        <w:rPr>
                          <w:color w:val="0F243E" w:themeColor="text2" w:themeShade="80"/>
                          <w:sz w:val="16"/>
                          <w:szCs w:val="16"/>
                          <w:lang w:val="en-US"/>
                        </w:rPr>
                      </w:pPr>
                      <w:r w:rsidRPr="00010E4F">
                        <w:rPr>
                          <w:b/>
                          <w:color w:val="0F243E" w:themeColor="text2" w:themeShade="80"/>
                          <w:sz w:val="16"/>
                          <w:szCs w:val="16"/>
                          <w:u w:val="single"/>
                          <w:lang w:val="en-US"/>
                        </w:rPr>
                        <w:t>Secretariat Support</w:t>
                      </w:r>
                      <w:r w:rsidRPr="00010E4F">
                        <w:rPr>
                          <w:b/>
                          <w:color w:val="0F243E" w:themeColor="text2" w:themeShade="80"/>
                          <w:sz w:val="16"/>
                          <w:szCs w:val="16"/>
                          <w:lang w:val="en-US"/>
                        </w:rPr>
                        <w:t xml:space="preserve">: </w:t>
                      </w:r>
                      <w:r w:rsidRPr="00010E4F">
                        <w:rPr>
                          <w:color w:val="0F243E" w:themeColor="text2" w:themeShade="80"/>
                          <w:sz w:val="16"/>
                          <w:szCs w:val="16"/>
                          <w:lang w:val="en-US"/>
                        </w:rPr>
                        <w:t>UNHCR and UNDP have played the role of secretariat.</w:t>
                      </w:r>
                    </w:p>
                    <w:p w14:paraId="2917D79E" w14:textId="2644C778" w:rsidR="007471E2" w:rsidRPr="00010E4F" w:rsidRDefault="007471E2" w:rsidP="00D064C8">
                      <w:pPr>
                        <w:spacing w:after="0" w:line="240" w:lineRule="auto"/>
                        <w:jc w:val="both"/>
                        <w:rPr>
                          <w:rFonts w:ascii="Calibri" w:eastAsia="Times New Roman" w:hAnsi="Calibri" w:cs="Arial"/>
                          <w:bCs/>
                          <w:color w:val="0F243E" w:themeColor="text2" w:themeShade="80"/>
                          <w:sz w:val="16"/>
                          <w:szCs w:val="16"/>
                        </w:rPr>
                      </w:pPr>
                      <w:r w:rsidRPr="00010E4F">
                        <w:rPr>
                          <w:rFonts w:ascii="Calibri" w:eastAsia="Times New Roman" w:hAnsi="Calibri" w:cs="Arial"/>
                          <w:b/>
                          <w:bCs/>
                          <w:color w:val="0F243E" w:themeColor="text2" w:themeShade="80"/>
                          <w:sz w:val="16"/>
                          <w:szCs w:val="16"/>
                          <w:u w:val="single"/>
                        </w:rPr>
                        <w:t>Composition of the Reference Group</w:t>
                      </w:r>
                      <w:r w:rsidRPr="00010E4F">
                        <w:rPr>
                          <w:rFonts w:ascii="Calibri" w:eastAsia="Times New Roman" w:hAnsi="Calibri" w:cs="Arial"/>
                          <w:b/>
                          <w:bCs/>
                          <w:color w:val="0F243E" w:themeColor="text2" w:themeShade="80"/>
                          <w:sz w:val="16"/>
                          <w:szCs w:val="16"/>
                        </w:rPr>
                        <w:t>:</w:t>
                      </w:r>
                      <w:r w:rsidRPr="00010E4F">
                        <w:rPr>
                          <w:rFonts w:ascii="Calibri" w:eastAsia="Times New Roman" w:hAnsi="Calibri" w:cs="Arial"/>
                          <w:bCs/>
                          <w:color w:val="0F243E" w:themeColor="text2" w:themeShade="80"/>
                          <w:sz w:val="16"/>
                          <w:szCs w:val="16"/>
                        </w:rPr>
                        <w:t xml:space="preserve"> </w:t>
                      </w:r>
                      <w:r w:rsidRPr="00010E4F">
                        <w:rPr>
                          <w:color w:val="0F243E" w:themeColor="text2" w:themeShade="80"/>
                          <w:sz w:val="16"/>
                          <w:szCs w:val="16"/>
                        </w:rPr>
                        <w:t>FAO; ILO; OCHA; Solutions Alliance Secretariat; WFP; IRC; UNICEF; IOM; JIPS; IDMC; IASC Secretariat; Graduate Institute IHEID; Global Protection Cluster; Global Cluster for Early Recovery; UNEP; WHO; IRC; Interaction.</w:t>
                      </w:r>
                    </w:p>
                    <w:p w14:paraId="1756A0B7" w14:textId="77777777" w:rsidR="007471E2" w:rsidRDefault="007471E2" w:rsidP="007471E2">
                      <w:pPr>
                        <w:spacing w:after="0"/>
                        <w:jc w:val="center"/>
                      </w:pPr>
                    </w:p>
                  </w:txbxContent>
                </v:textbox>
                <w10:wrap anchorx="margin"/>
              </v:rect>
            </w:pict>
          </mc:Fallback>
        </mc:AlternateContent>
      </w:r>
    </w:p>
    <w:p w14:paraId="11203991" w14:textId="0B64BCA5" w:rsidR="00DB5344" w:rsidRDefault="00DB5344" w:rsidP="005A0066">
      <w:pPr>
        <w:tabs>
          <w:tab w:val="left" w:pos="950"/>
        </w:tabs>
        <w:spacing w:after="0" w:line="240" w:lineRule="auto"/>
        <w:jc w:val="both"/>
        <w:rPr>
          <w:lang w:val="en-US"/>
        </w:rPr>
      </w:pPr>
    </w:p>
    <w:p w14:paraId="141A2D01" w14:textId="76CF76C5" w:rsidR="00DB5344" w:rsidRDefault="00DB5344" w:rsidP="005A0066">
      <w:pPr>
        <w:tabs>
          <w:tab w:val="left" w:pos="950"/>
        </w:tabs>
        <w:spacing w:after="0" w:line="240" w:lineRule="auto"/>
        <w:jc w:val="both"/>
        <w:rPr>
          <w:lang w:val="en-US"/>
        </w:rPr>
      </w:pPr>
    </w:p>
    <w:p w14:paraId="5E962819" w14:textId="2B325160" w:rsidR="00DB5344" w:rsidRDefault="00DB5344" w:rsidP="005A0066">
      <w:pPr>
        <w:tabs>
          <w:tab w:val="left" w:pos="950"/>
        </w:tabs>
        <w:spacing w:after="0" w:line="240" w:lineRule="auto"/>
        <w:jc w:val="both"/>
        <w:rPr>
          <w:lang w:val="en-US"/>
        </w:rPr>
      </w:pPr>
    </w:p>
    <w:sectPr w:rsidR="00DB5344" w:rsidSect="00010E4F">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676A5" w14:textId="77777777" w:rsidR="005D4739" w:rsidRDefault="005D4739" w:rsidP="00843D0A">
      <w:pPr>
        <w:spacing w:after="0" w:line="240" w:lineRule="auto"/>
      </w:pPr>
      <w:r>
        <w:separator/>
      </w:r>
    </w:p>
  </w:endnote>
  <w:endnote w:type="continuationSeparator" w:id="0">
    <w:p w14:paraId="6F39400C" w14:textId="77777777" w:rsidR="005D4739" w:rsidRDefault="005D4739" w:rsidP="0084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D7229" w14:textId="77777777" w:rsidR="005D4739" w:rsidRDefault="005D4739" w:rsidP="00843D0A">
      <w:pPr>
        <w:spacing w:after="0" w:line="240" w:lineRule="auto"/>
      </w:pPr>
      <w:r>
        <w:separator/>
      </w:r>
    </w:p>
  </w:footnote>
  <w:footnote w:type="continuationSeparator" w:id="0">
    <w:p w14:paraId="7433B970" w14:textId="77777777" w:rsidR="005D4739" w:rsidRDefault="005D4739" w:rsidP="00843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194B"/>
    <w:multiLevelType w:val="hybridMultilevel"/>
    <w:tmpl w:val="26FE3E7A"/>
    <w:lvl w:ilvl="0" w:tplc="04090001">
      <w:start w:val="1"/>
      <w:numFmt w:val="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F33BF"/>
    <w:multiLevelType w:val="hybridMultilevel"/>
    <w:tmpl w:val="C0EE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B42477"/>
    <w:multiLevelType w:val="hybridMultilevel"/>
    <w:tmpl w:val="33E2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4E1DF7"/>
    <w:multiLevelType w:val="hybridMultilevel"/>
    <w:tmpl w:val="BC42B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585ADA"/>
    <w:multiLevelType w:val="hybridMultilevel"/>
    <w:tmpl w:val="5F5E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511DE5"/>
    <w:multiLevelType w:val="hybridMultilevel"/>
    <w:tmpl w:val="BF7E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4A"/>
    <w:rsid w:val="00002030"/>
    <w:rsid w:val="00010E4F"/>
    <w:rsid w:val="00093319"/>
    <w:rsid w:val="000B294D"/>
    <w:rsid w:val="000B7F64"/>
    <w:rsid w:val="000D1805"/>
    <w:rsid w:val="00114209"/>
    <w:rsid w:val="00127000"/>
    <w:rsid w:val="00131155"/>
    <w:rsid w:val="00165767"/>
    <w:rsid w:val="0018065D"/>
    <w:rsid w:val="001806DA"/>
    <w:rsid w:val="001F0AA8"/>
    <w:rsid w:val="001F6AC2"/>
    <w:rsid w:val="00244524"/>
    <w:rsid w:val="002520FE"/>
    <w:rsid w:val="002632D5"/>
    <w:rsid w:val="002663FF"/>
    <w:rsid w:val="00271CA1"/>
    <w:rsid w:val="002804AC"/>
    <w:rsid w:val="00290CFA"/>
    <w:rsid w:val="00296ED4"/>
    <w:rsid w:val="002A0F80"/>
    <w:rsid w:val="00326D0C"/>
    <w:rsid w:val="00384FFB"/>
    <w:rsid w:val="003A4E69"/>
    <w:rsid w:val="003E60ED"/>
    <w:rsid w:val="004130BA"/>
    <w:rsid w:val="00413B1D"/>
    <w:rsid w:val="004519B0"/>
    <w:rsid w:val="0047337E"/>
    <w:rsid w:val="004B3A84"/>
    <w:rsid w:val="004B3C43"/>
    <w:rsid w:val="004C029B"/>
    <w:rsid w:val="004E23E1"/>
    <w:rsid w:val="00500881"/>
    <w:rsid w:val="005021EE"/>
    <w:rsid w:val="00520E46"/>
    <w:rsid w:val="005314A2"/>
    <w:rsid w:val="005365EC"/>
    <w:rsid w:val="00564446"/>
    <w:rsid w:val="00590A00"/>
    <w:rsid w:val="005A0066"/>
    <w:rsid w:val="005D044F"/>
    <w:rsid w:val="005D3897"/>
    <w:rsid w:val="005D4739"/>
    <w:rsid w:val="006C0AC8"/>
    <w:rsid w:val="006D38EA"/>
    <w:rsid w:val="006F2580"/>
    <w:rsid w:val="00737163"/>
    <w:rsid w:val="00745289"/>
    <w:rsid w:val="007471E2"/>
    <w:rsid w:val="00750391"/>
    <w:rsid w:val="007701D0"/>
    <w:rsid w:val="007753F0"/>
    <w:rsid w:val="007E4FB7"/>
    <w:rsid w:val="00805E34"/>
    <w:rsid w:val="00813794"/>
    <w:rsid w:val="0083588E"/>
    <w:rsid w:val="00843D0A"/>
    <w:rsid w:val="0085764A"/>
    <w:rsid w:val="00881066"/>
    <w:rsid w:val="008A4D9D"/>
    <w:rsid w:val="008E098C"/>
    <w:rsid w:val="008E10CC"/>
    <w:rsid w:val="00920408"/>
    <w:rsid w:val="009415E8"/>
    <w:rsid w:val="00A044A1"/>
    <w:rsid w:val="00A163B6"/>
    <w:rsid w:val="00A27210"/>
    <w:rsid w:val="00A86635"/>
    <w:rsid w:val="00A920BB"/>
    <w:rsid w:val="00A9268D"/>
    <w:rsid w:val="00A94B66"/>
    <w:rsid w:val="00AC7B6D"/>
    <w:rsid w:val="00AE0FDD"/>
    <w:rsid w:val="00AF4869"/>
    <w:rsid w:val="00B108DA"/>
    <w:rsid w:val="00B12471"/>
    <w:rsid w:val="00B82D98"/>
    <w:rsid w:val="00BA0D4C"/>
    <w:rsid w:val="00BF543E"/>
    <w:rsid w:val="00C34A9F"/>
    <w:rsid w:val="00C40C99"/>
    <w:rsid w:val="00C41AAB"/>
    <w:rsid w:val="00C45FB0"/>
    <w:rsid w:val="00C645B0"/>
    <w:rsid w:val="00C6529A"/>
    <w:rsid w:val="00C7433A"/>
    <w:rsid w:val="00D064C8"/>
    <w:rsid w:val="00D4259B"/>
    <w:rsid w:val="00D60D4D"/>
    <w:rsid w:val="00D62BD6"/>
    <w:rsid w:val="00DB5344"/>
    <w:rsid w:val="00DC0616"/>
    <w:rsid w:val="00DD3663"/>
    <w:rsid w:val="00E16EA2"/>
    <w:rsid w:val="00E226DB"/>
    <w:rsid w:val="00E61A8B"/>
    <w:rsid w:val="00E74D5F"/>
    <w:rsid w:val="00E85E46"/>
    <w:rsid w:val="00E941EE"/>
    <w:rsid w:val="00EF23A4"/>
    <w:rsid w:val="00F237E7"/>
    <w:rsid w:val="00F40082"/>
    <w:rsid w:val="00F42A80"/>
    <w:rsid w:val="00F5195B"/>
    <w:rsid w:val="00F52F56"/>
    <w:rsid w:val="00F71634"/>
    <w:rsid w:val="00F94745"/>
    <w:rsid w:val="00FA7A00"/>
    <w:rsid w:val="00FE07CE"/>
    <w:rsid w:val="00FF2BA1"/>
    <w:rsid w:val="00FF77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10A38"/>
  <w15:docId w15:val="{A56F4C65-5F03-4727-9060-B02D0249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99"/>
    <w:pPr>
      <w:ind w:left="720"/>
      <w:contextualSpacing/>
    </w:pPr>
  </w:style>
  <w:style w:type="paragraph" w:styleId="BalloonText">
    <w:name w:val="Balloon Text"/>
    <w:basedOn w:val="Normal"/>
    <w:link w:val="BalloonTextChar"/>
    <w:uiPriority w:val="99"/>
    <w:semiHidden/>
    <w:unhideWhenUsed/>
    <w:rsid w:val="00D60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4D"/>
    <w:rPr>
      <w:rFonts w:ascii="Tahoma" w:hAnsi="Tahoma" w:cs="Tahoma"/>
      <w:sz w:val="16"/>
      <w:szCs w:val="16"/>
    </w:rPr>
  </w:style>
  <w:style w:type="character" w:styleId="CommentReference">
    <w:name w:val="annotation reference"/>
    <w:basedOn w:val="DefaultParagraphFont"/>
    <w:uiPriority w:val="99"/>
    <w:semiHidden/>
    <w:unhideWhenUsed/>
    <w:rsid w:val="00C41AAB"/>
    <w:rPr>
      <w:sz w:val="18"/>
      <w:szCs w:val="18"/>
    </w:rPr>
  </w:style>
  <w:style w:type="paragraph" w:styleId="CommentText">
    <w:name w:val="annotation text"/>
    <w:basedOn w:val="Normal"/>
    <w:link w:val="CommentTextChar"/>
    <w:uiPriority w:val="99"/>
    <w:semiHidden/>
    <w:unhideWhenUsed/>
    <w:rsid w:val="00C41AAB"/>
    <w:pPr>
      <w:spacing w:line="240" w:lineRule="auto"/>
    </w:pPr>
    <w:rPr>
      <w:sz w:val="24"/>
      <w:szCs w:val="24"/>
    </w:rPr>
  </w:style>
  <w:style w:type="character" w:customStyle="1" w:styleId="CommentTextChar">
    <w:name w:val="Comment Text Char"/>
    <w:basedOn w:val="DefaultParagraphFont"/>
    <w:link w:val="CommentText"/>
    <w:uiPriority w:val="99"/>
    <w:semiHidden/>
    <w:rsid w:val="00C41AAB"/>
    <w:rPr>
      <w:sz w:val="24"/>
      <w:szCs w:val="24"/>
    </w:rPr>
  </w:style>
  <w:style w:type="paragraph" w:styleId="CommentSubject">
    <w:name w:val="annotation subject"/>
    <w:basedOn w:val="CommentText"/>
    <w:next w:val="CommentText"/>
    <w:link w:val="CommentSubjectChar"/>
    <w:uiPriority w:val="99"/>
    <w:semiHidden/>
    <w:unhideWhenUsed/>
    <w:rsid w:val="00C41AAB"/>
    <w:rPr>
      <w:b/>
      <w:bCs/>
      <w:sz w:val="20"/>
      <w:szCs w:val="20"/>
    </w:rPr>
  </w:style>
  <w:style w:type="character" w:customStyle="1" w:styleId="CommentSubjectChar">
    <w:name w:val="Comment Subject Char"/>
    <w:basedOn w:val="CommentTextChar"/>
    <w:link w:val="CommentSubject"/>
    <w:uiPriority w:val="99"/>
    <w:semiHidden/>
    <w:rsid w:val="00C41AAB"/>
    <w:rPr>
      <w:b/>
      <w:bCs/>
      <w:sz w:val="20"/>
      <w:szCs w:val="20"/>
    </w:rPr>
  </w:style>
  <w:style w:type="paragraph" w:styleId="Subtitle">
    <w:name w:val="Subtitle"/>
    <w:basedOn w:val="Normal"/>
    <w:next w:val="Normal"/>
    <w:link w:val="SubtitleChar"/>
    <w:uiPriority w:val="11"/>
    <w:qFormat/>
    <w:rsid w:val="00AC7B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7B6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43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D0A"/>
  </w:style>
  <w:style w:type="paragraph" w:styleId="Footer">
    <w:name w:val="footer"/>
    <w:basedOn w:val="Normal"/>
    <w:link w:val="FooterChar"/>
    <w:uiPriority w:val="99"/>
    <w:unhideWhenUsed/>
    <w:rsid w:val="00843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027080213F264DBBBF50D20B8418D2" ma:contentTypeVersion="3" ma:contentTypeDescription="Create a new document." ma:contentTypeScope="" ma:versionID="c520536b0f10aacf9d168421bd12ebcd">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820E-1711-4783-A362-8A3E5E5ADA93}">
  <ds:schemaRefs>
    <ds:schemaRef ds:uri="http://schemas.microsoft.com/sharepoint/v3/contenttype/forms"/>
  </ds:schemaRefs>
</ds:datastoreItem>
</file>

<file path=customXml/itemProps2.xml><?xml version="1.0" encoding="utf-8"?>
<ds:datastoreItem xmlns:ds="http://schemas.openxmlformats.org/officeDocument/2006/customXml" ds:itemID="{CA035175-8F64-4FD2-9B34-4E046EC843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5C6609-145B-4424-9E70-7B9B72B46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DADE8D-437D-41FF-AA99-D9EF820B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OCHA</dc:creator>
  <cp:lastModifiedBy>COOK</cp:lastModifiedBy>
  <cp:revision>10</cp:revision>
  <cp:lastPrinted>2014-10-06T14:52:00Z</cp:lastPrinted>
  <dcterms:created xsi:type="dcterms:W3CDTF">2017-03-21T10:33:00Z</dcterms:created>
  <dcterms:modified xsi:type="dcterms:W3CDTF">2017-03-22T07:30:00Z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0x0101007C027080213F264DBBBF50D20B8418D2</vt:lpwstr>
  </property>
</Properties>
</file>