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E6F" w:rsidRPr="003E721F" w:rsidRDefault="00662E6F" w:rsidP="00C83FB9">
      <w:pPr>
        <w:pStyle w:val="BoxBanner"/>
        <w:pBdr>
          <w:bottom w:val="single" w:sz="4" w:space="0" w:color="auto"/>
        </w:pBdr>
        <w:rPr>
          <w:sz w:val="24"/>
        </w:rPr>
      </w:pPr>
      <w:r w:rsidRPr="003E721F">
        <w:rPr>
          <w:sz w:val="24"/>
        </w:rPr>
        <w:t>Inter-Agency Standing Committee</w:t>
      </w:r>
    </w:p>
    <w:p w:rsidR="00ED2F5A" w:rsidRDefault="00507EE4" w:rsidP="00C83FB9">
      <w:pPr>
        <w:pStyle w:val="BoxTitle"/>
        <w:pBdr>
          <w:bottom w:val="single" w:sz="4" w:space="0" w:color="auto"/>
        </w:pBdr>
      </w:pPr>
      <w:r>
        <w:t>IASC Task Force on Climate Change</w:t>
      </w:r>
    </w:p>
    <w:p w:rsidR="00662E6F" w:rsidRDefault="007A2A26" w:rsidP="00C83FB9">
      <w:pPr>
        <w:pStyle w:val="BoxTitle"/>
        <w:pBdr>
          <w:bottom w:val="single" w:sz="4" w:space="0" w:color="auto"/>
        </w:pBdr>
      </w:pPr>
      <w:r>
        <w:t xml:space="preserve">Advocacy </w:t>
      </w:r>
      <w:r w:rsidR="00AB3154">
        <w:t xml:space="preserve">Plan </w:t>
      </w:r>
      <w:r w:rsidR="009E1E55">
        <w:t>2010</w:t>
      </w:r>
    </w:p>
    <w:p w:rsidR="007A2A26" w:rsidRDefault="009E7C14" w:rsidP="00C83FB9">
      <w:pPr>
        <w:pStyle w:val="BoxTitle"/>
        <w:pBdr>
          <w:bottom w:val="single" w:sz="4" w:space="0" w:color="auto"/>
        </w:pBdr>
      </w:pPr>
      <w:r>
        <w:rPr>
          <w:i/>
        </w:rPr>
        <w:t xml:space="preserve"> </w:t>
      </w:r>
      <w:r w:rsidR="00833213">
        <w:rPr>
          <w:i/>
        </w:rPr>
        <w:t>Final Version</w:t>
      </w:r>
    </w:p>
    <w:p w:rsidR="00EF1D68" w:rsidRDefault="00EF1D68" w:rsidP="000E1896">
      <w:pPr>
        <w:pStyle w:val="Heading1"/>
      </w:pPr>
      <w:r w:rsidRPr="00F35FA0">
        <w:t>Background</w:t>
      </w:r>
      <w:r w:rsidR="00C00CA8">
        <w:t xml:space="preserve"> and objectives</w:t>
      </w:r>
    </w:p>
    <w:p w:rsidR="00E13DFF" w:rsidRDefault="004B1DFF" w:rsidP="00E13DFF">
      <w:pPr>
        <w:spacing w:before="120"/>
        <w:rPr>
          <w:sz w:val="24"/>
        </w:rPr>
      </w:pPr>
      <w:r>
        <w:rPr>
          <w:sz w:val="24"/>
        </w:rPr>
        <w:t>T</w:t>
      </w:r>
      <w:r w:rsidR="00F51AED" w:rsidRPr="00120B5D">
        <w:rPr>
          <w:sz w:val="24"/>
        </w:rPr>
        <w:t xml:space="preserve">he IASC </w:t>
      </w:r>
      <w:r>
        <w:rPr>
          <w:sz w:val="24"/>
        </w:rPr>
        <w:t xml:space="preserve">Principals </w:t>
      </w:r>
      <w:r w:rsidR="008A4348">
        <w:rPr>
          <w:sz w:val="24"/>
        </w:rPr>
        <w:t xml:space="preserve">on 4 February 2010 </w:t>
      </w:r>
      <w:r>
        <w:rPr>
          <w:sz w:val="24"/>
        </w:rPr>
        <w:t>discussed</w:t>
      </w:r>
      <w:r w:rsidRPr="00120B5D">
        <w:rPr>
          <w:sz w:val="24"/>
        </w:rPr>
        <w:t xml:space="preserve"> </w:t>
      </w:r>
      <w:r w:rsidR="00EF1D68" w:rsidRPr="00120B5D">
        <w:rPr>
          <w:sz w:val="24"/>
        </w:rPr>
        <w:t xml:space="preserve">the outcomes of </w:t>
      </w:r>
      <w:r w:rsidR="003D792E">
        <w:rPr>
          <w:sz w:val="24"/>
        </w:rPr>
        <w:t>the Climate Change Conference in Copenhagen in December 2009 (</w:t>
      </w:r>
      <w:smartTag w:uri="urn:schemas-microsoft-com:office:smarttags" w:element="stockticker">
        <w:r w:rsidR="00EF1D68" w:rsidRPr="00120B5D">
          <w:rPr>
            <w:sz w:val="24"/>
          </w:rPr>
          <w:t>COP</w:t>
        </w:r>
      </w:smartTag>
      <w:r w:rsidR="00EF1D68" w:rsidRPr="00120B5D">
        <w:rPr>
          <w:sz w:val="24"/>
        </w:rPr>
        <w:t>15</w:t>
      </w:r>
      <w:r w:rsidR="003D792E">
        <w:rPr>
          <w:sz w:val="24"/>
        </w:rPr>
        <w:t>)</w:t>
      </w:r>
      <w:r w:rsidR="00EF1D68" w:rsidRPr="00120B5D">
        <w:rPr>
          <w:sz w:val="24"/>
        </w:rPr>
        <w:t xml:space="preserve"> and its implications for agency policies and operations. </w:t>
      </w:r>
      <w:r>
        <w:rPr>
          <w:sz w:val="24"/>
        </w:rPr>
        <w:t>To inform the discussion, t</w:t>
      </w:r>
      <w:r w:rsidR="00F51AED" w:rsidRPr="00120B5D">
        <w:rPr>
          <w:sz w:val="24"/>
        </w:rPr>
        <w:t xml:space="preserve">he IASC Task Force on Climate Change produced a discussion paper entitled “The </w:t>
      </w:r>
      <w:r>
        <w:rPr>
          <w:sz w:val="24"/>
        </w:rPr>
        <w:t>o</w:t>
      </w:r>
      <w:r w:rsidRPr="00120B5D">
        <w:rPr>
          <w:sz w:val="24"/>
        </w:rPr>
        <w:t xml:space="preserve">utcomes </w:t>
      </w:r>
      <w:r w:rsidR="00F51AED" w:rsidRPr="00120B5D">
        <w:rPr>
          <w:sz w:val="24"/>
        </w:rPr>
        <w:t xml:space="preserve">of the Copenhagen Summit on Climate Change and </w:t>
      </w:r>
      <w:r>
        <w:rPr>
          <w:sz w:val="24"/>
        </w:rPr>
        <w:t>i</w:t>
      </w:r>
      <w:r w:rsidRPr="00120B5D">
        <w:rPr>
          <w:sz w:val="24"/>
        </w:rPr>
        <w:t xml:space="preserve">mplications </w:t>
      </w:r>
      <w:r w:rsidR="00F51AED" w:rsidRPr="00120B5D">
        <w:rPr>
          <w:sz w:val="24"/>
        </w:rPr>
        <w:t xml:space="preserve">for the </w:t>
      </w:r>
      <w:r>
        <w:rPr>
          <w:sz w:val="24"/>
        </w:rPr>
        <w:t>o</w:t>
      </w:r>
      <w:r w:rsidRPr="00120B5D">
        <w:rPr>
          <w:sz w:val="24"/>
        </w:rPr>
        <w:t xml:space="preserve">perational </w:t>
      </w:r>
      <w:r>
        <w:rPr>
          <w:sz w:val="24"/>
        </w:rPr>
        <w:t>w</w:t>
      </w:r>
      <w:r w:rsidRPr="00120B5D">
        <w:rPr>
          <w:sz w:val="24"/>
        </w:rPr>
        <w:t xml:space="preserve">ork </w:t>
      </w:r>
      <w:r w:rsidR="00F51AED" w:rsidRPr="00120B5D">
        <w:rPr>
          <w:sz w:val="24"/>
        </w:rPr>
        <w:t xml:space="preserve">on the </w:t>
      </w:r>
      <w:r>
        <w:rPr>
          <w:sz w:val="24"/>
        </w:rPr>
        <w:t>h</w:t>
      </w:r>
      <w:r w:rsidRPr="00120B5D">
        <w:rPr>
          <w:sz w:val="24"/>
        </w:rPr>
        <w:t xml:space="preserve">umanitarian </w:t>
      </w:r>
      <w:r>
        <w:rPr>
          <w:sz w:val="24"/>
        </w:rPr>
        <w:t>i</w:t>
      </w:r>
      <w:r w:rsidRPr="00120B5D">
        <w:rPr>
          <w:sz w:val="24"/>
        </w:rPr>
        <w:t xml:space="preserve">mpacts </w:t>
      </w:r>
      <w:r w:rsidR="00F51AED" w:rsidRPr="00120B5D">
        <w:rPr>
          <w:sz w:val="24"/>
        </w:rPr>
        <w:t xml:space="preserve">of </w:t>
      </w:r>
      <w:r>
        <w:rPr>
          <w:sz w:val="24"/>
        </w:rPr>
        <w:t>c</w:t>
      </w:r>
      <w:r w:rsidRPr="00120B5D">
        <w:rPr>
          <w:sz w:val="24"/>
        </w:rPr>
        <w:t xml:space="preserve">limate </w:t>
      </w:r>
      <w:r>
        <w:rPr>
          <w:sz w:val="24"/>
        </w:rPr>
        <w:t>c</w:t>
      </w:r>
      <w:r w:rsidRPr="00120B5D">
        <w:rPr>
          <w:sz w:val="24"/>
        </w:rPr>
        <w:t>hange</w:t>
      </w:r>
      <w:r w:rsidR="00F51AED" w:rsidRPr="00120B5D">
        <w:rPr>
          <w:sz w:val="24"/>
        </w:rPr>
        <w:t>”</w:t>
      </w:r>
      <w:r>
        <w:rPr>
          <w:sz w:val="24"/>
        </w:rPr>
        <w:t>.</w:t>
      </w:r>
    </w:p>
    <w:p w:rsidR="00EF1D68" w:rsidRDefault="004B1DFF" w:rsidP="00E13DFF">
      <w:pPr>
        <w:spacing w:before="120"/>
        <w:rPr>
          <w:sz w:val="24"/>
          <w:lang w:val="en-US"/>
        </w:rPr>
      </w:pPr>
      <w:r>
        <w:rPr>
          <w:sz w:val="24"/>
          <w:lang w:val="en-US"/>
        </w:rPr>
        <w:t>The</w:t>
      </w:r>
      <w:r w:rsidR="00EF1D68" w:rsidRPr="00120B5D">
        <w:rPr>
          <w:sz w:val="24"/>
          <w:lang w:val="en-US"/>
        </w:rPr>
        <w:t xml:space="preserve"> IASC Principals</w:t>
      </w:r>
      <w:r>
        <w:rPr>
          <w:sz w:val="24"/>
          <w:lang w:val="en-US"/>
        </w:rPr>
        <w:t>:</w:t>
      </w:r>
    </w:p>
    <w:p w:rsidR="00EF1D68" w:rsidRPr="009972E5" w:rsidRDefault="00A87AB4" w:rsidP="00931744">
      <w:pPr>
        <w:numPr>
          <w:ilvl w:val="0"/>
          <w:numId w:val="26"/>
        </w:numPr>
        <w:tabs>
          <w:tab w:val="clear" w:pos="567"/>
          <w:tab w:val="clear" w:pos="992"/>
        </w:tabs>
        <w:autoSpaceDE w:val="0"/>
        <w:autoSpaceDN w:val="0"/>
        <w:adjustRightInd w:val="0"/>
        <w:spacing w:before="80" w:after="80" w:line="240" w:lineRule="auto"/>
        <w:ind w:left="714" w:hanging="357"/>
        <w:rPr>
          <w:sz w:val="24"/>
        </w:rPr>
      </w:pPr>
      <w:r w:rsidRPr="009972E5">
        <w:rPr>
          <w:sz w:val="24"/>
        </w:rPr>
        <w:t>r</w:t>
      </w:r>
      <w:r w:rsidR="00EF1D68" w:rsidRPr="009972E5">
        <w:rPr>
          <w:sz w:val="24"/>
        </w:rPr>
        <w:t>ecognized the importance of continued advocacy f</w:t>
      </w:r>
      <w:r w:rsidR="009972E5" w:rsidRPr="009972E5">
        <w:rPr>
          <w:sz w:val="24"/>
        </w:rPr>
        <w:t xml:space="preserve">or humanitarian concerns in the </w:t>
      </w:r>
      <w:r w:rsidR="00EF1D68" w:rsidRPr="009972E5">
        <w:rPr>
          <w:sz w:val="24"/>
        </w:rPr>
        <w:t>climate change negotiations and committed to maintain this advocacy in 2010</w:t>
      </w:r>
    </w:p>
    <w:p w:rsidR="00EF1D68" w:rsidRPr="009972E5" w:rsidRDefault="00A87AB4" w:rsidP="00931744">
      <w:pPr>
        <w:numPr>
          <w:ilvl w:val="0"/>
          <w:numId w:val="26"/>
        </w:numPr>
        <w:tabs>
          <w:tab w:val="clear" w:pos="567"/>
          <w:tab w:val="clear" w:pos="992"/>
        </w:tabs>
        <w:autoSpaceDE w:val="0"/>
        <w:autoSpaceDN w:val="0"/>
        <w:adjustRightInd w:val="0"/>
        <w:spacing w:before="80" w:after="80" w:line="240" w:lineRule="auto"/>
        <w:ind w:left="714" w:hanging="357"/>
        <w:rPr>
          <w:sz w:val="24"/>
        </w:rPr>
      </w:pPr>
      <w:r w:rsidRPr="009972E5">
        <w:rPr>
          <w:sz w:val="24"/>
        </w:rPr>
        <w:t>c</w:t>
      </w:r>
      <w:r w:rsidR="00EF1D68" w:rsidRPr="009972E5">
        <w:rPr>
          <w:sz w:val="24"/>
        </w:rPr>
        <w:t>alled upon agencies to develop project proposals in order to access funding available for adaptation strategies, while working closely with governments to implement local and national adaptation strategies</w:t>
      </w:r>
    </w:p>
    <w:p w:rsidR="00EF1D68" w:rsidRPr="009972E5" w:rsidRDefault="00A87AB4" w:rsidP="00931744">
      <w:pPr>
        <w:numPr>
          <w:ilvl w:val="0"/>
          <w:numId w:val="26"/>
        </w:numPr>
        <w:tabs>
          <w:tab w:val="clear" w:pos="567"/>
          <w:tab w:val="clear" w:pos="992"/>
        </w:tabs>
        <w:autoSpaceDE w:val="0"/>
        <w:autoSpaceDN w:val="0"/>
        <w:adjustRightInd w:val="0"/>
        <w:spacing w:before="80" w:after="80" w:line="240" w:lineRule="auto"/>
        <w:ind w:left="714" w:hanging="357"/>
        <w:rPr>
          <w:sz w:val="24"/>
        </w:rPr>
      </w:pPr>
      <w:r w:rsidRPr="009972E5">
        <w:rPr>
          <w:sz w:val="24"/>
        </w:rPr>
        <w:t>r</w:t>
      </w:r>
      <w:r w:rsidR="00EF1D68" w:rsidRPr="009972E5">
        <w:rPr>
          <w:sz w:val="24"/>
        </w:rPr>
        <w:t>equested the IASC Task Force on Climate Change to develop an action plan for the year, focused around a common advocacy strategy, while also providing guidance on how to access funding for adaptation initiatives.</w:t>
      </w:r>
    </w:p>
    <w:p w:rsidR="00A87AB4" w:rsidRPr="00120B5D" w:rsidRDefault="00A87AB4" w:rsidP="00A87AB4">
      <w:pPr>
        <w:spacing w:before="120"/>
        <w:rPr>
          <w:sz w:val="24"/>
        </w:rPr>
      </w:pPr>
      <w:r>
        <w:rPr>
          <w:sz w:val="24"/>
        </w:rPr>
        <w:t xml:space="preserve">The </w:t>
      </w:r>
      <w:r w:rsidR="00C17AB0">
        <w:rPr>
          <w:sz w:val="24"/>
        </w:rPr>
        <w:t xml:space="preserve">2010 </w:t>
      </w:r>
      <w:r>
        <w:rPr>
          <w:sz w:val="24"/>
        </w:rPr>
        <w:t xml:space="preserve">TOR and </w:t>
      </w:r>
      <w:r w:rsidRPr="00120B5D">
        <w:rPr>
          <w:sz w:val="24"/>
        </w:rPr>
        <w:t xml:space="preserve">Work Plan </w:t>
      </w:r>
      <w:r w:rsidR="00C17AB0">
        <w:rPr>
          <w:sz w:val="24"/>
        </w:rPr>
        <w:t xml:space="preserve">for </w:t>
      </w:r>
      <w:r w:rsidRPr="00120B5D">
        <w:rPr>
          <w:sz w:val="24"/>
        </w:rPr>
        <w:t>the IASC Task Force on Climate Change</w:t>
      </w:r>
      <w:r>
        <w:rPr>
          <w:sz w:val="24"/>
        </w:rPr>
        <w:t xml:space="preserve"> set as objectives to</w:t>
      </w:r>
      <w:r w:rsidR="0051366B">
        <w:rPr>
          <w:sz w:val="24"/>
        </w:rPr>
        <w:t>:</w:t>
      </w:r>
      <w:r>
        <w:rPr>
          <w:sz w:val="24"/>
        </w:rPr>
        <w:t xml:space="preserve"> </w:t>
      </w:r>
    </w:p>
    <w:p w:rsidR="00A87AB4" w:rsidRPr="006B74E8" w:rsidRDefault="00A87AB4" w:rsidP="00931744">
      <w:pPr>
        <w:numPr>
          <w:ilvl w:val="0"/>
          <w:numId w:val="26"/>
        </w:numPr>
        <w:tabs>
          <w:tab w:val="clear" w:pos="567"/>
          <w:tab w:val="clear" w:pos="992"/>
        </w:tabs>
        <w:autoSpaceDE w:val="0"/>
        <w:autoSpaceDN w:val="0"/>
        <w:adjustRightInd w:val="0"/>
        <w:spacing w:before="80" w:after="80" w:line="240" w:lineRule="auto"/>
        <w:ind w:left="714" w:hanging="357"/>
        <w:rPr>
          <w:sz w:val="24"/>
        </w:rPr>
      </w:pPr>
      <w:r>
        <w:rPr>
          <w:sz w:val="24"/>
        </w:rPr>
        <w:t>s</w:t>
      </w:r>
      <w:r w:rsidRPr="00EA2A78">
        <w:rPr>
          <w:sz w:val="24"/>
        </w:rPr>
        <w:t>upport strengthened advocacy and awareness raising</w:t>
      </w:r>
      <w:r w:rsidRPr="006B74E8">
        <w:rPr>
          <w:sz w:val="24"/>
        </w:rPr>
        <w:t xml:space="preserve"> </w:t>
      </w:r>
      <w:r w:rsidRPr="00EA2A78">
        <w:rPr>
          <w:sz w:val="24"/>
        </w:rPr>
        <w:t>by facilitating IASC agencies to effectively advocate on issues of common concern regarding the potential humanitarian impacts of climate change to the UNFCCC process and other relevant fora.</w:t>
      </w:r>
    </w:p>
    <w:p w:rsidR="00A87AB4" w:rsidRPr="00EA2A78" w:rsidRDefault="00A87AB4" w:rsidP="00931744">
      <w:pPr>
        <w:numPr>
          <w:ilvl w:val="0"/>
          <w:numId w:val="26"/>
        </w:numPr>
        <w:tabs>
          <w:tab w:val="clear" w:pos="567"/>
          <w:tab w:val="clear" w:pos="992"/>
        </w:tabs>
        <w:autoSpaceDE w:val="0"/>
        <w:autoSpaceDN w:val="0"/>
        <w:adjustRightInd w:val="0"/>
        <w:spacing w:before="80" w:after="80" w:line="240" w:lineRule="auto"/>
        <w:ind w:left="714" w:hanging="357"/>
        <w:rPr>
          <w:sz w:val="24"/>
        </w:rPr>
      </w:pPr>
      <w:r>
        <w:rPr>
          <w:sz w:val="24"/>
        </w:rPr>
        <w:t>s</w:t>
      </w:r>
      <w:r w:rsidRPr="00EA2A78">
        <w:rPr>
          <w:sz w:val="24"/>
        </w:rPr>
        <w:t>upport a dialogue with IASC agencies and fora at regional and national levels to facilitate the provision of climate change adaptation guidance, support and training for awareness raising and capacity building.</w:t>
      </w:r>
    </w:p>
    <w:p w:rsidR="00B744DA" w:rsidRPr="00120B5D" w:rsidRDefault="00B744DA" w:rsidP="00650CDD">
      <w:pPr>
        <w:rPr>
          <w:bCs/>
          <w:iCs/>
          <w:sz w:val="24"/>
          <w:lang w:val="en-US"/>
        </w:rPr>
      </w:pPr>
      <w:r w:rsidRPr="00120B5D">
        <w:rPr>
          <w:bCs/>
          <w:iCs/>
          <w:sz w:val="24"/>
          <w:lang w:val="en-US"/>
        </w:rPr>
        <w:t xml:space="preserve">This paper </w:t>
      </w:r>
      <w:r w:rsidR="00080F87" w:rsidRPr="00120B5D">
        <w:rPr>
          <w:bCs/>
          <w:iCs/>
          <w:sz w:val="24"/>
          <w:lang w:val="en-US"/>
        </w:rPr>
        <w:t>outlines</w:t>
      </w:r>
      <w:r w:rsidR="00EE18F6">
        <w:rPr>
          <w:bCs/>
          <w:iCs/>
          <w:sz w:val="24"/>
          <w:lang w:val="en-US"/>
        </w:rPr>
        <w:t xml:space="preserve"> the</w:t>
      </w:r>
      <w:r w:rsidRPr="00120B5D">
        <w:rPr>
          <w:bCs/>
          <w:iCs/>
          <w:sz w:val="24"/>
          <w:lang w:val="en-US"/>
        </w:rPr>
        <w:t xml:space="preserve"> joint IASC advocacy strategy </w:t>
      </w:r>
      <w:r w:rsidR="009E7C14">
        <w:rPr>
          <w:bCs/>
          <w:iCs/>
          <w:sz w:val="24"/>
          <w:lang w:val="en-US"/>
        </w:rPr>
        <w:t>in</w:t>
      </w:r>
      <w:r w:rsidRPr="00120B5D">
        <w:rPr>
          <w:bCs/>
          <w:iCs/>
          <w:sz w:val="24"/>
          <w:lang w:val="en-US"/>
        </w:rPr>
        <w:t xml:space="preserve"> 2010 which has been developed </w:t>
      </w:r>
      <w:r w:rsidR="00650CDD">
        <w:rPr>
          <w:bCs/>
          <w:iCs/>
          <w:sz w:val="24"/>
          <w:lang w:val="en-US"/>
        </w:rPr>
        <w:t xml:space="preserve">by agencies participating in </w:t>
      </w:r>
      <w:r w:rsidR="00DC0FC9">
        <w:rPr>
          <w:bCs/>
          <w:iCs/>
          <w:sz w:val="24"/>
          <w:lang w:val="en-US"/>
        </w:rPr>
        <w:t xml:space="preserve">the </w:t>
      </w:r>
      <w:r w:rsidRPr="00120B5D">
        <w:rPr>
          <w:bCs/>
          <w:iCs/>
          <w:sz w:val="24"/>
          <w:lang w:val="en-US"/>
        </w:rPr>
        <w:t>I</w:t>
      </w:r>
      <w:r w:rsidR="00DC0FC9">
        <w:rPr>
          <w:bCs/>
          <w:iCs/>
          <w:sz w:val="24"/>
          <w:lang w:val="en-US"/>
        </w:rPr>
        <w:t>ASC Task Force on Climate Change</w:t>
      </w:r>
      <w:r w:rsidRPr="00120B5D">
        <w:rPr>
          <w:bCs/>
          <w:iCs/>
          <w:sz w:val="24"/>
          <w:lang w:val="en-US"/>
        </w:rPr>
        <w:t>.</w:t>
      </w:r>
    </w:p>
    <w:p w:rsidR="00E01A5A" w:rsidRPr="00B17F91" w:rsidRDefault="00931744" w:rsidP="00B17F91">
      <w:pPr>
        <w:tabs>
          <w:tab w:val="clear" w:pos="567"/>
          <w:tab w:val="clear" w:pos="992"/>
        </w:tabs>
        <w:spacing w:before="0" w:line="240" w:lineRule="auto"/>
        <w:jc w:val="left"/>
        <w:rPr>
          <w:b/>
          <w:bCs/>
          <w:iCs/>
          <w:sz w:val="28"/>
          <w:szCs w:val="28"/>
          <w:lang w:val="en-US"/>
        </w:rPr>
      </w:pPr>
      <w:r>
        <w:rPr>
          <w:b/>
          <w:bCs/>
          <w:iCs/>
          <w:sz w:val="28"/>
          <w:szCs w:val="28"/>
          <w:lang w:val="en-US"/>
        </w:rPr>
        <w:br w:type="page"/>
      </w:r>
      <w:r w:rsidR="00120B5D">
        <w:rPr>
          <w:b/>
          <w:bCs/>
          <w:iCs/>
          <w:sz w:val="28"/>
          <w:szCs w:val="28"/>
          <w:lang w:val="en-US"/>
        </w:rPr>
        <w:lastRenderedPageBreak/>
        <w:t>II</w:t>
      </w:r>
      <w:r w:rsidR="00120B5D">
        <w:rPr>
          <w:b/>
          <w:bCs/>
          <w:iCs/>
          <w:sz w:val="28"/>
          <w:szCs w:val="28"/>
          <w:lang w:val="en-US"/>
        </w:rPr>
        <w:tab/>
        <w:t>Overall shift</w:t>
      </w:r>
      <w:r w:rsidR="00B744DA" w:rsidRPr="00B744DA">
        <w:rPr>
          <w:b/>
          <w:bCs/>
          <w:iCs/>
          <w:sz w:val="28"/>
          <w:szCs w:val="28"/>
          <w:lang w:val="en-US"/>
        </w:rPr>
        <w:t xml:space="preserve"> of focus: From global advocacy towards </w:t>
      </w:r>
      <w:r w:rsidR="00B744DA">
        <w:rPr>
          <w:b/>
          <w:bCs/>
          <w:iCs/>
          <w:sz w:val="28"/>
          <w:szCs w:val="28"/>
          <w:lang w:val="en-US"/>
        </w:rPr>
        <w:t>regional and country level advocacy</w:t>
      </w:r>
      <w:r w:rsidR="00120B5D">
        <w:rPr>
          <w:b/>
          <w:bCs/>
          <w:iCs/>
          <w:sz w:val="28"/>
          <w:szCs w:val="28"/>
          <w:lang w:val="en-US"/>
        </w:rPr>
        <w:t xml:space="preserve"> and implementation</w:t>
      </w:r>
    </w:p>
    <w:p w:rsidR="00B17F91" w:rsidRPr="00B17F91" w:rsidRDefault="0008039A" w:rsidP="00B17F91">
      <w:pPr>
        <w:rPr>
          <w:sz w:val="24"/>
        </w:rPr>
      </w:pPr>
      <w:r w:rsidRPr="000841CA">
        <w:rPr>
          <w:sz w:val="24"/>
        </w:rPr>
        <w:t xml:space="preserve">IASC </w:t>
      </w:r>
      <w:r w:rsidR="00D20A3F" w:rsidRPr="000841CA">
        <w:rPr>
          <w:sz w:val="24"/>
        </w:rPr>
        <w:t xml:space="preserve">advocacy </w:t>
      </w:r>
      <w:r w:rsidR="00DF7333">
        <w:rPr>
          <w:sz w:val="24"/>
        </w:rPr>
        <w:t xml:space="preserve">on climate change </w:t>
      </w:r>
      <w:r w:rsidRPr="000841CA">
        <w:rPr>
          <w:sz w:val="24"/>
        </w:rPr>
        <w:t xml:space="preserve">in 2009 </w:t>
      </w:r>
      <w:r w:rsidR="00E01A5A">
        <w:rPr>
          <w:sz w:val="24"/>
        </w:rPr>
        <w:t>was</w:t>
      </w:r>
      <w:r w:rsidRPr="000841CA">
        <w:rPr>
          <w:sz w:val="24"/>
        </w:rPr>
        <w:t xml:space="preserve"> </w:t>
      </w:r>
      <w:r w:rsidR="00DF7333">
        <w:rPr>
          <w:sz w:val="24"/>
        </w:rPr>
        <w:t xml:space="preserve">highly </w:t>
      </w:r>
      <w:r w:rsidRPr="000841CA">
        <w:rPr>
          <w:sz w:val="24"/>
        </w:rPr>
        <w:t>successful</w:t>
      </w:r>
      <w:r w:rsidR="00DF7333">
        <w:rPr>
          <w:sz w:val="24"/>
        </w:rPr>
        <w:t xml:space="preserve">. Of particular note, </w:t>
      </w:r>
      <w:r w:rsidR="00D20A3F" w:rsidRPr="000841CA">
        <w:rPr>
          <w:sz w:val="24"/>
        </w:rPr>
        <w:t>humanitarian concerns</w:t>
      </w:r>
      <w:r w:rsidRPr="000841CA">
        <w:rPr>
          <w:sz w:val="24"/>
        </w:rPr>
        <w:t xml:space="preserve"> are now an integral part of the UNFCCC agenda. </w:t>
      </w:r>
      <w:r w:rsidR="00D20A3F" w:rsidRPr="000841CA">
        <w:rPr>
          <w:sz w:val="24"/>
        </w:rPr>
        <w:t>The links between</w:t>
      </w:r>
      <w:r w:rsidRPr="000841CA">
        <w:rPr>
          <w:sz w:val="24"/>
        </w:rPr>
        <w:t xml:space="preserve"> disaster risk reduction, preparedness, food security, </w:t>
      </w:r>
      <w:r w:rsidR="005F77E3">
        <w:rPr>
          <w:sz w:val="24"/>
        </w:rPr>
        <w:t xml:space="preserve">health, </w:t>
      </w:r>
      <w:r w:rsidRPr="000841CA">
        <w:rPr>
          <w:sz w:val="24"/>
        </w:rPr>
        <w:t xml:space="preserve">migration and displacement with climate change adaptation have been </w:t>
      </w:r>
      <w:r w:rsidR="004901B3">
        <w:rPr>
          <w:sz w:val="24"/>
        </w:rPr>
        <w:t xml:space="preserve">integrated into </w:t>
      </w:r>
      <w:r w:rsidRPr="000841CA">
        <w:rPr>
          <w:sz w:val="24"/>
        </w:rPr>
        <w:t xml:space="preserve">the negotiating text. However, the overall UNFCCC process is </w:t>
      </w:r>
      <w:r w:rsidR="004A0E0D">
        <w:rPr>
          <w:sz w:val="24"/>
        </w:rPr>
        <w:t>making slow progress</w:t>
      </w:r>
      <w:r w:rsidR="004A0E0D" w:rsidRPr="000841CA">
        <w:rPr>
          <w:sz w:val="24"/>
        </w:rPr>
        <w:t xml:space="preserve"> </w:t>
      </w:r>
      <w:r w:rsidR="003057B6">
        <w:rPr>
          <w:sz w:val="24"/>
        </w:rPr>
        <w:t>on</w:t>
      </w:r>
      <w:r w:rsidR="003057B6" w:rsidRPr="000841CA">
        <w:rPr>
          <w:sz w:val="24"/>
        </w:rPr>
        <w:t xml:space="preserve"> </w:t>
      </w:r>
      <w:r w:rsidRPr="000841CA">
        <w:rPr>
          <w:sz w:val="24"/>
        </w:rPr>
        <w:t xml:space="preserve">issues like financing, </w:t>
      </w:r>
      <w:r w:rsidR="00BC7D07">
        <w:rPr>
          <w:sz w:val="24"/>
        </w:rPr>
        <w:t>governance</w:t>
      </w:r>
      <w:r w:rsidR="004901B3">
        <w:rPr>
          <w:sz w:val="24"/>
        </w:rPr>
        <w:t xml:space="preserve"> and</w:t>
      </w:r>
      <w:r w:rsidR="00BC7D07">
        <w:rPr>
          <w:sz w:val="24"/>
        </w:rPr>
        <w:t xml:space="preserve"> </w:t>
      </w:r>
      <w:r w:rsidRPr="000841CA">
        <w:rPr>
          <w:sz w:val="24"/>
        </w:rPr>
        <w:t>technology transfer</w:t>
      </w:r>
      <w:r w:rsidR="00650CDD">
        <w:rPr>
          <w:sz w:val="24"/>
        </w:rPr>
        <w:t>,</w:t>
      </w:r>
      <w:r w:rsidRPr="000841CA">
        <w:rPr>
          <w:sz w:val="24"/>
        </w:rPr>
        <w:t xml:space="preserve"> which are </w:t>
      </w:r>
      <w:r w:rsidR="00E01A5A">
        <w:rPr>
          <w:sz w:val="24"/>
        </w:rPr>
        <w:t>beyond</w:t>
      </w:r>
      <w:r w:rsidRPr="000841CA">
        <w:rPr>
          <w:sz w:val="24"/>
        </w:rPr>
        <w:t xml:space="preserve"> the realm of humanitarian actors. </w:t>
      </w:r>
    </w:p>
    <w:p w:rsidR="00E01A5A" w:rsidRDefault="00E01A5A" w:rsidP="00650CDD">
      <w:pPr>
        <w:rPr>
          <w:rStyle w:val="Emphasis"/>
          <w:b w:val="0"/>
          <w:color w:val="000000"/>
          <w:sz w:val="24"/>
        </w:rPr>
      </w:pPr>
      <w:r>
        <w:rPr>
          <w:sz w:val="24"/>
          <w:lang w:val="en-US"/>
        </w:rPr>
        <w:t xml:space="preserve">In parallel, G8, G20 and the </w:t>
      </w:r>
      <w:r w:rsidRPr="00C61138">
        <w:rPr>
          <w:rStyle w:val="Emphasis"/>
          <w:b w:val="0"/>
          <w:color w:val="000000"/>
          <w:sz w:val="24"/>
        </w:rPr>
        <w:t>Major Economies</w:t>
      </w:r>
      <w:r w:rsidRPr="00C61138">
        <w:rPr>
          <w:rStyle w:val="Emphasis"/>
          <w:color w:val="000000"/>
          <w:sz w:val="24"/>
        </w:rPr>
        <w:t xml:space="preserve"> </w:t>
      </w:r>
      <w:r w:rsidRPr="00C61138">
        <w:rPr>
          <w:rStyle w:val="Emphasis"/>
          <w:b w:val="0"/>
          <w:color w:val="000000"/>
          <w:sz w:val="24"/>
        </w:rPr>
        <w:t>Forum</w:t>
      </w:r>
      <w:r w:rsidRPr="00C61138">
        <w:rPr>
          <w:color w:val="000000"/>
          <w:sz w:val="24"/>
        </w:rPr>
        <w:t xml:space="preserve"> on Energy and Climate (</w:t>
      </w:r>
      <w:r w:rsidRPr="00C61138">
        <w:rPr>
          <w:rStyle w:val="Emphasis"/>
          <w:b w:val="0"/>
          <w:color w:val="000000"/>
          <w:sz w:val="24"/>
        </w:rPr>
        <w:t>MEF</w:t>
      </w:r>
      <w:r w:rsidRPr="00C61138">
        <w:rPr>
          <w:rStyle w:val="Emphasis"/>
          <w:color w:val="000000"/>
          <w:sz w:val="24"/>
        </w:rPr>
        <w:t>)</w:t>
      </w:r>
      <w:r>
        <w:rPr>
          <w:rStyle w:val="Emphasis"/>
          <w:color w:val="000000"/>
          <w:sz w:val="24"/>
        </w:rPr>
        <w:t xml:space="preserve"> </w:t>
      </w:r>
      <w:r>
        <w:rPr>
          <w:rStyle w:val="Emphasis"/>
          <w:b w:val="0"/>
          <w:color w:val="000000"/>
          <w:sz w:val="24"/>
        </w:rPr>
        <w:t>have emerged as key multilateral fora with climate change on the</w:t>
      </w:r>
      <w:r w:rsidR="00B17F91">
        <w:rPr>
          <w:rStyle w:val="Emphasis"/>
          <w:b w:val="0"/>
          <w:color w:val="000000"/>
          <w:sz w:val="24"/>
        </w:rPr>
        <w:t>ir</w:t>
      </w:r>
      <w:r>
        <w:rPr>
          <w:rStyle w:val="Emphasis"/>
          <w:b w:val="0"/>
          <w:color w:val="000000"/>
          <w:sz w:val="24"/>
        </w:rPr>
        <w:t xml:space="preserve"> agenda</w:t>
      </w:r>
      <w:r w:rsidR="00B17F91">
        <w:rPr>
          <w:rStyle w:val="Emphasis"/>
          <w:b w:val="0"/>
          <w:color w:val="000000"/>
          <w:sz w:val="24"/>
        </w:rPr>
        <w:t>s.</w:t>
      </w:r>
      <w:r>
        <w:rPr>
          <w:rStyle w:val="Emphasis"/>
          <w:b w:val="0"/>
          <w:color w:val="000000"/>
          <w:sz w:val="24"/>
        </w:rPr>
        <w:t xml:space="preserve"> </w:t>
      </w:r>
      <w:r w:rsidR="00B17F91">
        <w:rPr>
          <w:rStyle w:val="Emphasis"/>
          <w:b w:val="0"/>
          <w:color w:val="000000"/>
          <w:sz w:val="24"/>
        </w:rPr>
        <w:t>Nevertheless,</w:t>
      </w:r>
      <w:r>
        <w:rPr>
          <w:rStyle w:val="Emphasis"/>
          <w:b w:val="0"/>
          <w:color w:val="000000"/>
          <w:sz w:val="24"/>
        </w:rPr>
        <w:t xml:space="preserve"> these do not have the inclusiveness of the UNFCCC with regard to the developing countries. The Bretton Woods institutions and regional development banks are also considered to be instrumental in achieving progress on climate change. In addition, the High-Level Advisory Group of the UN Secretary General on Climate Change Financing will be playing an important role</w:t>
      </w:r>
      <w:r w:rsidR="00B17F91" w:rsidRPr="00B17F91">
        <w:t xml:space="preserve"> </w:t>
      </w:r>
      <w:r w:rsidR="00B17F91">
        <w:t>in the coming period</w:t>
      </w:r>
      <w:r>
        <w:rPr>
          <w:rStyle w:val="Emphasis"/>
          <w:b w:val="0"/>
          <w:color w:val="000000"/>
          <w:sz w:val="24"/>
        </w:rPr>
        <w:t xml:space="preserve">. The UN High-Level Panel on Global Sustainability may also become relevant, especially </w:t>
      </w:r>
      <w:r w:rsidR="00B17F91">
        <w:rPr>
          <w:rStyle w:val="Emphasis"/>
          <w:b w:val="0"/>
          <w:color w:val="000000"/>
          <w:sz w:val="24"/>
        </w:rPr>
        <w:t>given its</w:t>
      </w:r>
      <w:r>
        <w:rPr>
          <w:rStyle w:val="Emphasis"/>
          <w:b w:val="0"/>
          <w:color w:val="000000"/>
          <w:sz w:val="24"/>
        </w:rPr>
        <w:t xml:space="preserve"> </w:t>
      </w:r>
      <w:r w:rsidR="00B17F91">
        <w:rPr>
          <w:rStyle w:val="Emphasis"/>
          <w:b w:val="0"/>
          <w:color w:val="000000"/>
          <w:sz w:val="24"/>
        </w:rPr>
        <w:t xml:space="preserve">role in carrying out a strategic </w:t>
      </w:r>
      <w:r>
        <w:rPr>
          <w:rStyle w:val="Emphasis"/>
          <w:b w:val="0"/>
          <w:color w:val="000000"/>
          <w:sz w:val="24"/>
        </w:rPr>
        <w:t xml:space="preserve">assessment of the relationship of climate change to development and its implications. </w:t>
      </w:r>
    </w:p>
    <w:p w:rsidR="004901B3" w:rsidRDefault="00277834" w:rsidP="00650CDD">
      <w:pPr>
        <w:rPr>
          <w:sz w:val="24"/>
          <w:lang w:val="en-US"/>
        </w:rPr>
      </w:pPr>
      <w:r>
        <w:rPr>
          <w:sz w:val="24"/>
          <w:lang w:val="en-US"/>
        </w:rPr>
        <w:t>Overall, t</w:t>
      </w:r>
      <w:r w:rsidR="00C61138">
        <w:rPr>
          <w:sz w:val="24"/>
          <w:lang w:val="en-US"/>
        </w:rPr>
        <w:t xml:space="preserve">he </w:t>
      </w:r>
      <w:r w:rsidR="00DF7333">
        <w:rPr>
          <w:sz w:val="24"/>
          <w:lang w:val="en-US"/>
        </w:rPr>
        <w:t xml:space="preserve">context and </w:t>
      </w:r>
      <w:r w:rsidR="002A290B">
        <w:rPr>
          <w:sz w:val="24"/>
          <w:lang w:val="en-US"/>
        </w:rPr>
        <w:t xml:space="preserve">fora for moving </w:t>
      </w:r>
      <w:r w:rsidR="00650CDD">
        <w:rPr>
          <w:sz w:val="24"/>
          <w:lang w:val="en-US"/>
        </w:rPr>
        <w:t xml:space="preserve">forward </w:t>
      </w:r>
      <w:r w:rsidR="002A290B">
        <w:rPr>
          <w:sz w:val="24"/>
          <w:lang w:val="en-US"/>
        </w:rPr>
        <w:t xml:space="preserve">the international climate change agenda </w:t>
      </w:r>
      <w:r w:rsidR="00C61138">
        <w:rPr>
          <w:sz w:val="24"/>
          <w:lang w:val="en-US"/>
        </w:rPr>
        <w:t>have clearly changed</w:t>
      </w:r>
      <w:r w:rsidR="001349E5">
        <w:rPr>
          <w:sz w:val="24"/>
          <w:lang w:val="en-US"/>
        </w:rPr>
        <w:t xml:space="preserve"> since </w:t>
      </w:r>
      <w:smartTag w:uri="urn:schemas-microsoft-com:office:smarttags" w:element="stockticker">
        <w:r w:rsidR="001349E5">
          <w:rPr>
            <w:sz w:val="24"/>
            <w:lang w:val="en-US"/>
          </w:rPr>
          <w:t>COP</w:t>
        </w:r>
      </w:smartTag>
      <w:r w:rsidR="001349E5">
        <w:rPr>
          <w:sz w:val="24"/>
          <w:lang w:val="en-US"/>
        </w:rPr>
        <w:t>15</w:t>
      </w:r>
      <w:r w:rsidR="00C61138">
        <w:rPr>
          <w:sz w:val="24"/>
          <w:lang w:val="en-US"/>
        </w:rPr>
        <w:t xml:space="preserve">. </w:t>
      </w:r>
      <w:r w:rsidR="00E01A5A">
        <w:rPr>
          <w:sz w:val="24"/>
          <w:lang w:val="en-US"/>
        </w:rPr>
        <w:t xml:space="preserve">While </w:t>
      </w:r>
      <w:r w:rsidR="00C61138">
        <w:rPr>
          <w:sz w:val="24"/>
          <w:lang w:val="en-US"/>
        </w:rPr>
        <w:t>UNFCCC</w:t>
      </w:r>
      <w:r w:rsidR="00E01A5A">
        <w:rPr>
          <w:sz w:val="24"/>
          <w:lang w:val="en-US"/>
        </w:rPr>
        <w:t xml:space="preserve"> will remain</w:t>
      </w:r>
      <w:r w:rsidR="00DF7333">
        <w:rPr>
          <w:sz w:val="24"/>
          <w:lang w:val="en-US"/>
        </w:rPr>
        <w:t>,</w:t>
      </w:r>
      <w:r w:rsidR="002A290B">
        <w:rPr>
          <w:sz w:val="24"/>
          <w:lang w:val="en-US"/>
        </w:rPr>
        <w:t xml:space="preserve"> for most countries</w:t>
      </w:r>
      <w:r w:rsidR="00DF7333">
        <w:rPr>
          <w:sz w:val="24"/>
          <w:lang w:val="en-US"/>
        </w:rPr>
        <w:t>,</w:t>
      </w:r>
      <w:r w:rsidR="002A290B">
        <w:rPr>
          <w:sz w:val="24"/>
          <w:lang w:val="en-US"/>
        </w:rPr>
        <w:t xml:space="preserve"> the </w:t>
      </w:r>
      <w:r w:rsidR="00E01A5A">
        <w:rPr>
          <w:sz w:val="24"/>
          <w:lang w:val="en-US"/>
        </w:rPr>
        <w:t xml:space="preserve">principal </w:t>
      </w:r>
      <w:r w:rsidR="002A290B">
        <w:rPr>
          <w:sz w:val="24"/>
          <w:lang w:val="en-US"/>
        </w:rPr>
        <w:t>forum for shaping a global deal on climate change mitigation and adaptation</w:t>
      </w:r>
      <w:r w:rsidR="00E01A5A" w:rsidRPr="00E01A5A">
        <w:rPr>
          <w:sz w:val="24"/>
          <w:lang w:val="en-US"/>
        </w:rPr>
        <w:t>, IASC members should now focus their attention on regional and national fora</w:t>
      </w:r>
      <w:r w:rsidR="002A290B">
        <w:rPr>
          <w:sz w:val="24"/>
          <w:lang w:val="en-US"/>
        </w:rPr>
        <w:t xml:space="preserve">. </w:t>
      </w:r>
    </w:p>
    <w:p w:rsidR="00DF7333" w:rsidRDefault="00197CB3" w:rsidP="001349E5">
      <w:pPr>
        <w:spacing w:before="120"/>
        <w:rPr>
          <w:rStyle w:val="Emphasis"/>
          <w:b w:val="0"/>
          <w:color w:val="000000"/>
          <w:sz w:val="24"/>
        </w:rPr>
      </w:pPr>
      <w:r>
        <w:rPr>
          <w:rStyle w:val="Emphasis"/>
          <w:b w:val="0"/>
          <w:color w:val="000000"/>
          <w:sz w:val="24"/>
        </w:rPr>
        <w:t>Momentum</w:t>
      </w:r>
      <w:r w:rsidR="00A779C9">
        <w:rPr>
          <w:rStyle w:val="Emphasis"/>
          <w:b w:val="0"/>
          <w:color w:val="000000"/>
          <w:sz w:val="24"/>
        </w:rPr>
        <w:t xml:space="preserve"> has clearly shifted </w:t>
      </w:r>
      <w:r w:rsidR="00A779C9" w:rsidRPr="00E01A5A">
        <w:rPr>
          <w:rStyle w:val="Emphasis"/>
          <w:b w:val="0"/>
          <w:bCs w:val="0"/>
          <w:color w:val="000000"/>
          <w:sz w:val="24"/>
        </w:rPr>
        <w:t xml:space="preserve">from global </w:t>
      </w:r>
      <w:r w:rsidRPr="00E01A5A">
        <w:rPr>
          <w:rStyle w:val="Emphasis"/>
          <w:b w:val="0"/>
          <w:color w:val="000000"/>
        </w:rPr>
        <w:t>negotiations</w:t>
      </w:r>
      <w:r w:rsidRPr="00E01A5A">
        <w:rPr>
          <w:rStyle w:val="Emphasis"/>
          <w:b w:val="0"/>
          <w:bCs w:val="0"/>
          <w:color w:val="000000"/>
          <w:sz w:val="24"/>
        </w:rPr>
        <w:t xml:space="preserve"> </w:t>
      </w:r>
      <w:r w:rsidR="00A779C9" w:rsidRPr="00E01A5A">
        <w:rPr>
          <w:rStyle w:val="Emphasis"/>
          <w:b w:val="0"/>
          <w:bCs w:val="0"/>
          <w:color w:val="000000"/>
          <w:sz w:val="24"/>
        </w:rPr>
        <w:t>towards</w:t>
      </w:r>
      <w:r w:rsidR="00A779C9">
        <w:rPr>
          <w:rStyle w:val="Emphasis"/>
          <w:b w:val="0"/>
          <w:color w:val="000000"/>
          <w:sz w:val="24"/>
        </w:rPr>
        <w:t xml:space="preserve"> regional, national and sub-national level policy and programme implementation. With this shift, regional </w:t>
      </w:r>
      <w:r w:rsidR="00130BD1">
        <w:rPr>
          <w:rStyle w:val="Emphasis"/>
          <w:b w:val="0"/>
          <w:color w:val="000000"/>
          <w:sz w:val="24"/>
        </w:rPr>
        <w:t xml:space="preserve">and </w:t>
      </w:r>
      <w:r w:rsidR="003B3C4E">
        <w:rPr>
          <w:rStyle w:val="Emphasis"/>
          <w:b w:val="0"/>
          <w:color w:val="000000"/>
          <w:sz w:val="24"/>
        </w:rPr>
        <w:t xml:space="preserve">country level </w:t>
      </w:r>
      <w:r w:rsidR="00A779C9">
        <w:rPr>
          <w:rStyle w:val="Emphasis"/>
          <w:b w:val="0"/>
          <w:color w:val="000000"/>
          <w:sz w:val="24"/>
        </w:rPr>
        <w:t>fora for advancing climate change adaptation</w:t>
      </w:r>
      <w:r w:rsidR="00AC7F5A">
        <w:rPr>
          <w:rStyle w:val="Emphasis"/>
          <w:b w:val="0"/>
          <w:color w:val="000000"/>
          <w:sz w:val="24"/>
        </w:rPr>
        <w:t>, as well as strengthened interaction with government focal points</w:t>
      </w:r>
      <w:r w:rsidR="00A779C9">
        <w:rPr>
          <w:rStyle w:val="Emphasis"/>
          <w:b w:val="0"/>
          <w:color w:val="000000"/>
          <w:sz w:val="24"/>
        </w:rPr>
        <w:t xml:space="preserve"> have gained in importance.</w:t>
      </w:r>
    </w:p>
    <w:p w:rsidR="00DF7333" w:rsidRDefault="00DF7333" w:rsidP="001349E5">
      <w:pPr>
        <w:spacing w:before="120"/>
        <w:rPr>
          <w:rStyle w:val="Emphasis"/>
          <w:b w:val="0"/>
          <w:color w:val="000000"/>
          <w:sz w:val="24"/>
        </w:rPr>
      </w:pPr>
    </w:p>
    <w:p w:rsidR="00DF7333" w:rsidRPr="00931744" w:rsidRDefault="004901B3" w:rsidP="00DF7333">
      <w:pPr>
        <w:spacing w:before="120"/>
        <w:rPr>
          <w:rStyle w:val="Emphasis"/>
          <w:color w:val="000000"/>
          <w:sz w:val="24"/>
        </w:rPr>
      </w:pPr>
      <w:r w:rsidRPr="00931744">
        <w:rPr>
          <w:rStyle w:val="Emphasis"/>
          <w:color w:val="000000"/>
          <w:sz w:val="24"/>
        </w:rPr>
        <w:t>I</w:t>
      </w:r>
      <w:r w:rsidR="00DF7333" w:rsidRPr="00931744">
        <w:rPr>
          <w:rStyle w:val="Emphasis"/>
          <w:color w:val="000000"/>
          <w:sz w:val="24"/>
        </w:rPr>
        <w:t>mplications for an IASC advocacy plan:</w:t>
      </w:r>
    </w:p>
    <w:p w:rsidR="00DF7333" w:rsidRPr="006B74E8" w:rsidRDefault="00DF7333" w:rsidP="00374CE1">
      <w:pPr>
        <w:numPr>
          <w:ilvl w:val="0"/>
          <w:numId w:val="36"/>
        </w:numPr>
        <w:tabs>
          <w:tab w:val="clear" w:pos="567"/>
          <w:tab w:val="clear" w:pos="720"/>
          <w:tab w:val="clear" w:pos="992"/>
          <w:tab w:val="left" w:pos="709"/>
        </w:tabs>
        <w:spacing w:before="120"/>
        <w:ind w:left="714" w:hanging="357"/>
        <w:rPr>
          <w:rStyle w:val="Emphasis"/>
          <w:b w:val="0"/>
          <w:color w:val="000000"/>
          <w:sz w:val="24"/>
        </w:rPr>
      </w:pPr>
      <w:r>
        <w:rPr>
          <w:rStyle w:val="Emphasis"/>
          <w:b w:val="0"/>
          <w:color w:val="000000"/>
          <w:sz w:val="24"/>
        </w:rPr>
        <w:t xml:space="preserve">The focus </w:t>
      </w:r>
      <w:r w:rsidR="004901B3">
        <w:rPr>
          <w:rStyle w:val="Emphasis"/>
          <w:b w:val="0"/>
          <w:color w:val="000000"/>
          <w:sz w:val="24"/>
        </w:rPr>
        <w:t xml:space="preserve">should be </w:t>
      </w:r>
      <w:r>
        <w:rPr>
          <w:rStyle w:val="Emphasis"/>
          <w:b w:val="0"/>
          <w:color w:val="000000"/>
          <w:sz w:val="24"/>
        </w:rPr>
        <w:t xml:space="preserve">on fora other than the UNFCCC, while </w:t>
      </w:r>
      <w:r w:rsidR="00C17AB0">
        <w:rPr>
          <w:rStyle w:val="Emphasis"/>
          <w:b w:val="0"/>
          <w:color w:val="000000"/>
          <w:sz w:val="24"/>
        </w:rPr>
        <w:t xml:space="preserve">however </w:t>
      </w:r>
      <w:r>
        <w:rPr>
          <w:rStyle w:val="Emphasis"/>
          <w:b w:val="0"/>
          <w:color w:val="000000"/>
          <w:sz w:val="24"/>
        </w:rPr>
        <w:t xml:space="preserve">not ignoring </w:t>
      </w:r>
      <w:r w:rsidR="00C17AB0">
        <w:rPr>
          <w:rStyle w:val="Emphasis"/>
          <w:b w:val="0"/>
          <w:color w:val="000000"/>
          <w:sz w:val="24"/>
        </w:rPr>
        <w:t>the UNFCCC</w:t>
      </w:r>
      <w:r w:rsidR="002E19B0">
        <w:rPr>
          <w:rStyle w:val="Emphasis"/>
          <w:b w:val="0"/>
          <w:color w:val="000000"/>
          <w:sz w:val="24"/>
        </w:rPr>
        <w:t xml:space="preserve"> (see section VI)</w:t>
      </w:r>
      <w:r>
        <w:rPr>
          <w:rStyle w:val="Emphasis"/>
          <w:b w:val="0"/>
          <w:color w:val="000000"/>
          <w:sz w:val="24"/>
        </w:rPr>
        <w:t xml:space="preserve">; </w:t>
      </w:r>
    </w:p>
    <w:p w:rsidR="00DF7333" w:rsidRPr="006B74E8" w:rsidRDefault="00DF7333" w:rsidP="00650CDD">
      <w:pPr>
        <w:numPr>
          <w:ilvl w:val="0"/>
          <w:numId w:val="36"/>
        </w:numPr>
        <w:tabs>
          <w:tab w:val="clear" w:pos="567"/>
          <w:tab w:val="clear" w:pos="720"/>
          <w:tab w:val="clear" w:pos="992"/>
          <w:tab w:val="left" w:pos="709"/>
        </w:tabs>
        <w:spacing w:before="120"/>
        <w:ind w:left="714" w:hanging="357"/>
        <w:rPr>
          <w:rStyle w:val="Emphasis"/>
          <w:b w:val="0"/>
          <w:color w:val="000000"/>
          <w:sz w:val="24"/>
        </w:rPr>
      </w:pPr>
      <w:r>
        <w:rPr>
          <w:rStyle w:val="Emphasis"/>
          <w:b w:val="0"/>
          <w:color w:val="000000"/>
          <w:sz w:val="24"/>
        </w:rPr>
        <w:t>Advocacy efforts should not try to ‘open a door that is open</w:t>
      </w:r>
      <w:r w:rsidR="003057B6">
        <w:rPr>
          <w:rStyle w:val="Emphasis"/>
          <w:b w:val="0"/>
          <w:color w:val="000000"/>
          <w:sz w:val="24"/>
        </w:rPr>
        <w:t>.</w:t>
      </w:r>
      <w:r>
        <w:rPr>
          <w:rStyle w:val="Emphasis"/>
          <w:b w:val="0"/>
          <w:color w:val="000000"/>
          <w:sz w:val="24"/>
        </w:rPr>
        <w:t>’</w:t>
      </w:r>
      <w:r w:rsidR="003057B6">
        <w:rPr>
          <w:rStyle w:val="Emphasis"/>
          <w:b w:val="0"/>
          <w:color w:val="000000"/>
          <w:sz w:val="24"/>
        </w:rPr>
        <w:t xml:space="preserve"> H</w:t>
      </w:r>
      <w:r>
        <w:rPr>
          <w:rStyle w:val="Emphasis"/>
          <w:b w:val="0"/>
          <w:color w:val="000000"/>
          <w:sz w:val="24"/>
        </w:rPr>
        <w:t>umanitarian concerns are already integrated in the UNFCCC dialogue and text</w:t>
      </w:r>
      <w:r w:rsidR="003057B6">
        <w:rPr>
          <w:rStyle w:val="Emphasis"/>
          <w:b w:val="0"/>
          <w:color w:val="000000"/>
          <w:sz w:val="24"/>
        </w:rPr>
        <w:t>, so e</w:t>
      </w:r>
      <w:r>
        <w:rPr>
          <w:rStyle w:val="Emphasis"/>
          <w:b w:val="0"/>
          <w:color w:val="000000"/>
          <w:sz w:val="24"/>
        </w:rPr>
        <w:t xml:space="preserve">fforts should be </w:t>
      </w:r>
      <w:r w:rsidR="003057B6">
        <w:rPr>
          <w:rStyle w:val="Emphasis"/>
          <w:b w:val="0"/>
          <w:color w:val="000000"/>
          <w:sz w:val="24"/>
        </w:rPr>
        <w:t xml:space="preserve">aimed at </w:t>
      </w:r>
      <w:r>
        <w:rPr>
          <w:rStyle w:val="Emphasis"/>
          <w:b w:val="0"/>
          <w:color w:val="000000"/>
          <w:sz w:val="24"/>
        </w:rPr>
        <w:t>maintaining these elements and adding to them, rather than repeating the same, more general case used in 2009</w:t>
      </w:r>
      <w:r w:rsidR="003057B6">
        <w:rPr>
          <w:rStyle w:val="Emphasis"/>
          <w:b w:val="0"/>
          <w:color w:val="000000"/>
          <w:sz w:val="24"/>
        </w:rPr>
        <w:t>;</w:t>
      </w:r>
    </w:p>
    <w:p w:rsidR="00DF7333" w:rsidRPr="004901B3" w:rsidRDefault="00DF7333" w:rsidP="00374CE1">
      <w:pPr>
        <w:numPr>
          <w:ilvl w:val="0"/>
          <w:numId w:val="36"/>
        </w:numPr>
        <w:tabs>
          <w:tab w:val="clear" w:pos="567"/>
          <w:tab w:val="clear" w:pos="720"/>
          <w:tab w:val="clear" w:pos="992"/>
          <w:tab w:val="left" w:pos="709"/>
        </w:tabs>
        <w:spacing w:before="120"/>
        <w:ind w:left="714" w:hanging="357"/>
        <w:rPr>
          <w:rStyle w:val="Emphasis"/>
          <w:b w:val="0"/>
          <w:color w:val="000000"/>
          <w:sz w:val="24"/>
        </w:rPr>
      </w:pPr>
      <w:r>
        <w:rPr>
          <w:rStyle w:val="Emphasis"/>
          <w:b w:val="0"/>
          <w:color w:val="000000"/>
          <w:sz w:val="24"/>
        </w:rPr>
        <w:t>Based on the Copenhagen experience, the bulk of advocacy efforts should take place before the event</w:t>
      </w:r>
      <w:r w:rsidR="00C17AB0">
        <w:rPr>
          <w:rStyle w:val="Emphasis"/>
          <w:b w:val="0"/>
          <w:color w:val="000000"/>
          <w:sz w:val="24"/>
        </w:rPr>
        <w:t xml:space="preserve"> (COP16 in Cancun)</w:t>
      </w:r>
      <w:r>
        <w:rPr>
          <w:rStyle w:val="Emphasis"/>
          <w:b w:val="0"/>
          <w:color w:val="000000"/>
          <w:sz w:val="24"/>
        </w:rPr>
        <w:t>;</w:t>
      </w:r>
    </w:p>
    <w:p w:rsidR="00DF7333" w:rsidRPr="006B74E8" w:rsidRDefault="00DF7333" w:rsidP="00374CE1">
      <w:pPr>
        <w:numPr>
          <w:ilvl w:val="0"/>
          <w:numId w:val="36"/>
        </w:numPr>
        <w:tabs>
          <w:tab w:val="clear" w:pos="567"/>
          <w:tab w:val="clear" w:pos="720"/>
          <w:tab w:val="clear" w:pos="992"/>
          <w:tab w:val="left" w:pos="709"/>
        </w:tabs>
        <w:spacing w:before="120"/>
        <w:ind w:left="714" w:hanging="357"/>
        <w:rPr>
          <w:rStyle w:val="Emphasis"/>
          <w:color w:val="000000"/>
        </w:rPr>
      </w:pPr>
      <w:r w:rsidRPr="004901B3">
        <w:rPr>
          <w:rStyle w:val="Emphasis"/>
          <w:b w:val="0"/>
          <w:color w:val="000000"/>
          <w:sz w:val="24"/>
        </w:rPr>
        <w:t>IASC agencies should consider options to</w:t>
      </w:r>
      <w:r w:rsidRPr="006B74E8">
        <w:rPr>
          <w:rStyle w:val="Emphasis"/>
          <w:b w:val="0"/>
          <w:color w:val="000000"/>
          <w:sz w:val="24"/>
        </w:rPr>
        <w:t xml:space="preserve"> better link enhanced programming and advocacy.</w:t>
      </w:r>
    </w:p>
    <w:p w:rsidR="00DF7333" w:rsidRPr="00DF7333" w:rsidRDefault="00DF7333" w:rsidP="001349E5">
      <w:pPr>
        <w:spacing w:before="120"/>
        <w:rPr>
          <w:rStyle w:val="Emphasis"/>
          <w:b w:val="0"/>
          <w:color w:val="000000"/>
          <w:sz w:val="24"/>
          <w:lang w:val="en-US"/>
        </w:rPr>
      </w:pPr>
    </w:p>
    <w:p w:rsidR="00B744DA" w:rsidRPr="00667191" w:rsidRDefault="00931744" w:rsidP="00265B37">
      <w:pPr>
        <w:tabs>
          <w:tab w:val="clear" w:pos="567"/>
          <w:tab w:val="clear" w:pos="992"/>
        </w:tabs>
        <w:spacing w:before="0" w:line="240" w:lineRule="auto"/>
        <w:jc w:val="left"/>
        <w:rPr>
          <w:b/>
          <w:bCs/>
          <w:iCs/>
          <w:sz w:val="28"/>
          <w:szCs w:val="28"/>
          <w:lang w:val="en-US"/>
        </w:rPr>
      </w:pPr>
      <w:r>
        <w:rPr>
          <w:b/>
          <w:sz w:val="28"/>
          <w:szCs w:val="28"/>
          <w:lang w:val="en-US"/>
        </w:rPr>
        <w:br w:type="page"/>
      </w:r>
      <w:smartTag w:uri="urn:schemas-microsoft-com:office:smarttags" w:element="stockticker">
        <w:r w:rsidR="00EE3B86" w:rsidRPr="00667191">
          <w:rPr>
            <w:b/>
            <w:bCs/>
            <w:iCs/>
            <w:sz w:val="28"/>
            <w:szCs w:val="28"/>
            <w:lang w:val="en-US"/>
          </w:rPr>
          <w:lastRenderedPageBreak/>
          <w:t>III</w:t>
        </w:r>
      </w:smartTag>
      <w:r w:rsidR="00EE3B86" w:rsidRPr="00667191">
        <w:rPr>
          <w:b/>
          <w:bCs/>
          <w:iCs/>
          <w:sz w:val="28"/>
          <w:szCs w:val="28"/>
          <w:lang w:val="en-US"/>
        </w:rPr>
        <w:tab/>
      </w:r>
      <w:r w:rsidR="00A779C9" w:rsidRPr="00667191">
        <w:rPr>
          <w:b/>
          <w:bCs/>
          <w:iCs/>
          <w:sz w:val="28"/>
          <w:szCs w:val="28"/>
          <w:lang w:val="en-US"/>
        </w:rPr>
        <w:t>O</w:t>
      </w:r>
      <w:r w:rsidR="00B744DA" w:rsidRPr="00667191">
        <w:rPr>
          <w:b/>
          <w:bCs/>
          <w:iCs/>
          <w:sz w:val="28"/>
          <w:szCs w:val="28"/>
          <w:lang w:val="en-US"/>
        </w:rPr>
        <w:t xml:space="preserve">pportunities for </w:t>
      </w:r>
      <w:r w:rsidR="00A779C9" w:rsidRPr="00667191">
        <w:rPr>
          <w:b/>
          <w:bCs/>
          <w:iCs/>
          <w:sz w:val="28"/>
          <w:szCs w:val="28"/>
          <w:lang w:val="en-US"/>
        </w:rPr>
        <w:t xml:space="preserve">IASC </w:t>
      </w:r>
      <w:r w:rsidR="00B744DA" w:rsidRPr="00667191">
        <w:rPr>
          <w:b/>
          <w:bCs/>
          <w:iCs/>
          <w:sz w:val="28"/>
          <w:szCs w:val="28"/>
          <w:lang w:val="en-US"/>
        </w:rPr>
        <w:t>advocacy</w:t>
      </w:r>
    </w:p>
    <w:p w:rsidR="00A779C9" w:rsidRDefault="00A779C9" w:rsidP="00120B5D">
      <w:pPr>
        <w:spacing w:before="120"/>
        <w:rPr>
          <w:sz w:val="24"/>
          <w:lang w:val="en-US"/>
        </w:rPr>
      </w:pPr>
      <w:r>
        <w:rPr>
          <w:sz w:val="24"/>
          <w:lang w:val="en-US"/>
        </w:rPr>
        <w:t xml:space="preserve">The opportunities for IASC advocacy and awareness raising have changed with the overall shift of focus towards implementation at national and sub-national levels. </w:t>
      </w:r>
    </w:p>
    <w:p w:rsidR="007D1E26" w:rsidRDefault="00A779C9" w:rsidP="00265B37">
      <w:pPr>
        <w:spacing w:before="240"/>
        <w:rPr>
          <w:sz w:val="24"/>
          <w:lang w:val="en-US"/>
        </w:rPr>
      </w:pPr>
      <w:r w:rsidRPr="00EA2DE5">
        <w:rPr>
          <w:b/>
          <w:sz w:val="24"/>
          <w:u w:val="single"/>
          <w:lang w:val="en-US"/>
        </w:rPr>
        <w:t>At the global level</w:t>
      </w:r>
      <w:r>
        <w:rPr>
          <w:sz w:val="24"/>
          <w:lang w:val="en-US"/>
        </w:rPr>
        <w:t xml:space="preserve">, </w:t>
      </w:r>
    </w:p>
    <w:p w:rsidR="007D1E26" w:rsidRPr="007D1E26" w:rsidRDefault="007D1E26" w:rsidP="00265B37">
      <w:pPr>
        <w:numPr>
          <w:ilvl w:val="0"/>
          <w:numId w:val="36"/>
        </w:numPr>
        <w:tabs>
          <w:tab w:val="clear" w:pos="567"/>
          <w:tab w:val="clear" w:pos="720"/>
          <w:tab w:val="clear" w:pos="992"/>
          <w:tab w:val="left" w:pos="709"/>
        </w:tabs>
        <w:spacing w:before="160"/>
        <w:ind w:left="714" w:hanging="357"/>
        <w:rPr>
          <w:sz w:val="24"/>
          <w:u w:val="single"/>
        </w:rPr>
      </w:pPr>
      <w:r>
        <w:rPr>
          <w:sz w:val="24"/>
          <w:u w:val="single"/>
        </w:rPr>
        <w:t>UNFCCC process</w:t>
      </w:r>
    </w:p>
    <w:p w:rsidR="005B7742" w:rsidRPr="00AB748B" w:rsidRDefault="007D1E26" w:rsidP="00650CDD">
      <w:pPr>
        <w:spacing w:before="120"/>
        <w:rPr>
          <w:szCs w:val="26"/>
        </w:rPr>
      </w:pPr>
      <w:r>
        <w:rPr>
          <w:sz w:val="24"/>
        </w:rPr>
        <w:t>T</w:t>
      </w:r>
      <w:r w:rsidR="00A779C9" w:rsidRPr="00120B5D">
        <w:rPr>
          <w:sz w:val="24"/>
        </w:rPr>
        <w:t xml:space="preserve">he IASC agencies </w:t>
      </w:r>
      <w:r w:rsidR="00650CDD">
        <w:rPr>
          <w:sz w:val="24"/>
        </w:rPr>
        <w:t xml:space="preserve">should </w:t>
      </w:r>
      <w:r w:rsidR="00A779C9" w:rsidRPr="00120B5D">
        <w:rPr>
          <w:sz w:val="24"/>
        </w:rPr>
        <w:t xml:space="preserve">continue to monitor and support global policy dialogue in the </w:t>
      </w:r>
      <w:r w:rsidR="00A779C9" w:rsidRPr="00277834">
        <w:rPr>
          <w:sz w:val="24"/>
        </w:rPr>
        <w:t>UNFCCC process</w:t>
      </w:r>
      <w:r w:rsidR="00A779C9" w:rsidRPr="00120B5D">
        <w:rPr>
          <w:sz w:val="24"/>
        </w:rPr>
        <w:t xml:space="preserve"> leading towards </w:t>
      </w:r>
      <w:smartTag w:uri="urn:schemas-microsoft-com:office:smarttags" w:element="stockticker">
        <w:r w:rsidR="00A779C9" w:rsidRPr="00120B5D">
          <w:rPr>
            <w:sz w:val="24"/>
          </w:rPr>
          <w:t>COP</w:t>
        </w:r>
      </w:smartTag>
      <w:r w:rsidR="00A779C9" w:rsidRPr="00120B5D">
        <w:rPr>
          <w:sz w:val="24"/>
        </w:rPr>
        <w:t>16 in Cancun, Mexico</w:t>
      </w:r>
      <w:r w:rsidR="001349E5">
        <w:rPr>
          <w:sz w:val="24"/>
        </w:rPr>
        <w:t>.</w:t>
      </w:r>
      <w:r w:rsidR="001349E5" w:rsidRPr="001349E5">
        <w:rPr>
          <w:sz w:val="24"/>
        </w:rPr>
        <w:t xml:space="preserve"> </w:t>
      </w:r>
      <w:r w:rsidR="00AB748B">
        <w:rPr>
          <w:sz w:val="24"/>
        </w:rPr>
        <w:t xml:space="preserve">Agencies agree </w:t>
      </w:r>
      <w:r w:rsidR="00AB748B" w:rsidRPr="00120B5D">
        <w:rPr>
          <w:sz w:val="24"/>
        </w:rPr>
        <w:t xml:space="preserve">that IASC presence in the UNFCCC process </w:t>
      </w:r>
      <w:r w:rsidR="004901B3">
        <w:rPr>
          <w:sz w:val="24"/>
        </w:rPr>
        <w:t>should</w:t>
      </w:r>
      <w:r w:rsidR="004901B3" w:rsidRPr="00120B5D">
        <w:rPr>
          <w:sz w:val="24"/>
        </w:rPr>
        <w:t xml:space="preserve"> </w:t>
      </w:r>
      <w:r w:rsidR="00AB748B" w:rsidRPr="00120B5D">
        <w:rPr>
          <w:sz w:val="24"/>
        </w:rPr>
        <w:t>be maintained</w:t>
      </w:r>
      <w:r w:rsidR="00D20A3F">
        <w:rPr>
          <w:sz w:val="24"/>
        </w:rPr>
        <w:t xml:space="preserve"> to secure the gains in the negotiating text</w:t>
      </w:r>
      <w:r w:rsidR="00AB748B">
        <w:rPr>
          <w:sz w:val="24"/>
        </w:rPr>
        <w:t xml:space="preserve">, although in general, agencies </w:t>
      </w:r>
      <w:r w:rsidR="00650CDD">
        <w:rPr>
          <w:sz w:val="24"/>
        </w:rPr>
        <w:t xml:space="preserve">should </w:t>
      </w:r>
      <w:r w:rsidR="00AB748B">
        <w:rPr>
          <w:sz w:val="24"/>
        </w:rPr>
        <w:t xml:space="preserve">invest less </w:t>
      </w:r>
      <w:r w:rsidR="00650CDD">
        <w:rPr>
          <w:sz w:val="24"/>
        </w:rPr>
        <w:t>in</w:t>
      </w:r>
      <w:r w:rsidR="00AB748B">
        <w:rPr>
          <w:sz w:val="24"/>
        </w:rPr>
        <w:t xml:space="preserve"> the UNFCCC process this year. </w:t>
      </w:r>
      <w:r w:rsidR="00EA395B">
        <w:rPr>
          <w:sz w:val="24"/>
        </w:rPr>
        <w:t>O</w:t>
      </w:r>
      <w:r w:rsidR="008603B6">
        <w:rPr>
          <w:sz w:val="24"/>
        </w:rPr>
        <w:t xml:space="preserve">pportunities for </w:t>
      </w:r>
      <w:r w:rsidR="00817067">
        <w:rPr>
          <w:sz w:val="24"/>
        </w:rPr>
        <w:t>providing further technical support to</w:t>
      </w:r>
      <w:r w:rsidR="008603B6">
        <w:rPr>
          <w:sz w:val="24"/>
        </w:rPr>
        <w:t xml:space="preserve"> the UNFCCC process are regarded by IASC agencies as greater prior to </w:t>
      </w:r>
      <w:smartTag w:uri="urn:schemas-microsoft-com:office:smarttags" w:element="stockticker">
        <w:r w:rsidR="008603B6">
          <w:rPr>
            <w:sz w:val="24"/>
          </w:rPr>
          <w:t>COP</w:t>
        </w:r>
      </w:smartTag>
      <w:r w:rsidR="008603B6">
        <w:rPr>
          <w:sz w:val="24"/>
        </w:rPr>
        <w:t>16</w:t>
      </w:r>
      <w:r w:rsidR="001334B7">
        <w:rPr>
          <w:sz w:val="24"/>
        </w:rPr>
        <w:t xml:space="preserve">, rather than at </w:t>
      </w:r>
      <w:smartTag w:uri="urn:schemas-microsoft-com:office:smarttags" w:element="stockticker">
        <w:r w:rsidR="001334B7">
          <w:rPr>
            <w:sz w:val="24"/>
          </w:rPr>
          <w:t>COP</w:t>
        </w:r>
      </w:smartTag>
      <w:r w:rsidR="001334B7">
        <w:rPr>
          <w:sz w:val="24"/>
        </w:rPr>
        <w:t>16 itself</w:t>
      </w:r>
      <w:r w:rsidR="008603B6">
        <w:rPr>
          <w:sz w:val="24"/>
        </w:rPr>
        <w:t>.</w:t>
      </w:r>
      <w:r w:rsidR="005B7742">
        <w:rPr>
          <w:sz w:val="24"/>
        </w:rPr>
        <w:t xml:space="preserve"> </w:t>
      </w:r>
    </w:p>
    <w:p w:rsidR="008A2A81" w:rsidRDefault="00356BDF" w:rsidP="00120B5D">
      <w:pPr>
        <w:spacing w:before="120"/>
        <w:rPr>
          <w:sz w:val="24"/>
          <w:lang w:val="en-US"/>
        </w:rPr>
      </w:pPr>
      <w:r>
        <w:rPr>
          <w:sz w:val="24"/>
          <w:u w:val="single"/>
        </w:rPr>
        <w:t xml:space="preserve">The Climate Change Conference </w:t>
      </w:r>
      <w:r w:rsidR="008A2A81" w:rsidRPr="001334B7">
        <w:rPr>
          <w:sz w:val="24"/>
          <w:u w:val="single"/>
        </w:rPr>
        <w:t>in Cancun, Mexico</w:t>
      </w:r>
      <w:r>
        <w:rPr>
          <w:sz w:val="24"/>
          <w:u w:val="single"/>
        </w:rPr>
        <w:t xml:space="preserve"> </w:t>
      </w:r>
      <w:r w:rsidR="00311094">
        <w:rPr>
          <w:sz w:val="24"/>
          <w:u w:val="single"/>
        </w:rPr>
        <w:t xml:space="preserve">in December 2010 </w:t>
      </w:r>
      <w:r>
        <w:rPr>
          <w:sz w:val="24"/>
          <w:u w:val="single"/>
        </w:rPr>
        <w:t>(</w:t>
      </w:r>
      <w:smartTag w:uri="urn:schemas-microsoft-com:office:smarttags" w:element="stockticker">
        <w:r>
          <w:rPr>
            <w:sz w:val="24"/>
            <w:u w:val="single"/>
          </w:rPr>
          <w:t>COP</w:t>
        </w:r>
      </w:smartTag>
      <w:r>
        <w:rPr>
          <w:sz w:val="24"/>
          <w:u w:val="single"/>
        </w:rPr>
        <w:t>16)</w:t>
      </w:r>
      <w:r w:rsidR="008A2A81">
        <w:rPr>
          <w:sz w:val="24"/>
        </w:rPr>
        <w:t xml:space="preserve">, will be an opportunity for IASC agencies to engage the </w:t>
      </w:r>
      <w:r w:rsidR="00DB7E6B">
        <w:rPr>
          <w:sz w:val="24"/>
        </w:rPr>
        <w:t xml:space="preserve">governments and </w:t>
      </w:r>
      <w:r w:rsidR="008A2A81">
        <w:rPr>
          <w:sz w:val="24"/>
        </w:rPr>
        <w:t>countries of the Americas and draw their attention to the impacts</w:t>
      </w:r>
      <w:r w:rsidR="007474A5">
        <w:rPr>
          <w:sz w:val="24"/>
        </w:rPr>
        <w:t xml:space="preserve"> of climate change</w:t>
      </w:r>
      <w:r w:rsidR="00D20A3F">
        <w:rPr>
          <w:sz w:val="24"/>
        </w:rPr>
        <w:t xml:space="preserve"> </w:t>
      </w:r>
      <w:r w:rsidR="00AC7F5A">
        <w:rPr>
          <w:sz w:val="24"/>
        </w:rPr>
        <w:t xml:space="preserve">within the region </w:t>
      </w:r>
      <w:r w:rsidR="00D20A3F">
        <w:rPr>
          <w:sz w:val="24"/>
        </w:rPr>
        <w:t xml:space="preserve">and existing </w:t>
      </w:r>
      <w:r w:rsidR="00197CB3">
        <w:rPr>
          <w:sz w:val="24"/>
        </w:rPr>
        <w:t xml:space="preserve">good </w:t>
      </w:r>
      <w:r w:rsidR="00D20A3F">
        <w:rPr>
          <w:sz w:val="24"/>
        </w:rPr>
        <w:t>practices</w:t>
      </w:r>
      <w:r w:rsidR="00197CB3">
        <w:rPr>
          <w:sz w:val="24"/>
        </w:rPr>
        <w:t>, experience</w:t>
      </w:r>
      <w:r w:rsidR="00D20A3F">
        <w:rPr>
          <w:sz w:val="24"/>
        </w:rPr>
        <w:t xml:space="preserve"> and expertise from IASC agencies</w:t>
      </w:r>
      <w:r w:rsidR="008A2A81">
        <w:rPr>
          <w:sz w:val="24"/>
        </w:rPr>
        <w:t>.</w:t>
      </w:r>
      <w:r w:rsidR="00DB7E6B">
        <w:rPr>
          <w:sz w:val="24"/>
        </w:rPr>
        <w:t xml:space="preserve"> </w:t>
      </w:r>
      <w:r w:rsidR="00DF7333">
        <w:rPr>
          <w:sz w:val="24"/>
        </w:rPr>
        <w:t>I</w:t>
      </w:r>
      <w:r w:rsidR="00D20A3F">
        <w:rPr>
          <w:sz w:val="24"/>
        </w:rPr>
        <w:t xml:space="preserve">mportant </w:t>
      </w:r>
      <w:r w:rsidR="00DB7E6B">
        <w:rPr>
          <w:sz w:val="24"/>
        </w:rPr>
        <w:t>civil societ</w:t>
      </w:r>
      <w:r w:rsidR="00D20A3F">
        <w:rPr>
          <w:sz w:val="24"/>
        </w:rPr>
        <w:t>y participation is</w:t>
      </w:r>
      <w:r w:rsidR="00DB7E6B">
        <w:rPr>
          <w:sz w:val="24"/>
        </w:rPr>
        <w:t xml:space="preserve"> expected</w:t>
      </w:r>
      <w:r w:rsidR="00D20A3F">
        <w:rPr>
          <w:sz w:val="24"/>
        </w:rPr>
        <w:t xml:space="preserve"> in and around the conference</w:t>
      </w:r>
      <w:r w:rsidR="00DD6E00">
        <w:rPr>
          <w:sz w:val="24"/>
        </w:rPr>
        <w:t>. IASC agencies should be in dialogue with</w:t>
      </w:r>
      <w:r w:rsidR="00DF7333">
        <w:rPr>
          <w:sz w:val="24"/>
        </w:rPr>
        <w:t xml:space="preserve"> key UNFCCC Parties in advance of </w:t>
      </w:r>
      <w:smartTag w:uri="urn:schemas-microsoft-com:office:smarttags" w:element="stockticker">
        <w:r w:rsidR="00DF7333">
          <w:rPr>
            <w:sz w:val="24"/>
          </w:rPr>
          <w:t>COP</w:t>
        </w:r>
      </w:smartTag>
      <w:r w:rsidR="00DF7333">
        <w:rPr>
          <w:sz w:val="24"/>
        </w:rPr>
        <w:t>16 with a core set of messages aimed at maintaining existing advocacy gains.</w:t>
      </w:r>
    </w:p>
    <w:p w:rsidR="00A779C9" w:rsidRDefault="001334B7" w:rsidP="00120B5D">
      <w:pPr>
        <w:spacing w:before="120"/>
        <w:rPr>
          <w:sz w:val="24"/>
        </w:rPr>
      </w:pPr>
      <w:r>
        <w:rPr>
          <w:sz w:val="24"/>
        </w:rPr>
        <w:t xml:space="preserve">IASC agencies will organise </w:t>
      </w:r>
      <w:r w:rsidRPr="00EA2DE5">
        <w:rPr>
          <w:sz w:val="24"/>
          <w:u w:val="single"/>
        </w:rPr>
        <w:t>a joint side event</w:t>
      </w:r>
      <w:r w:rsidRPr="00867446">
        <w:rPr>
          <w:sz w:val="24"/>
        </w:rPr>
        <w:t xml:space="preserve"> at </w:t>
      </w:r>
      <w:smartTag w:uri="urn:schemas-microsoft-com:office:smarttags" w:element="stockticker">
        <w:r w:rsidRPr="00867446">
          <w:rPr>
            <w:sz w:val="24"/>
          </w:rPr>
          <w:t>COP</w:t>
        </w:r>
      </w:smartTag>
      <w:r w:rsidRPr="00867446">
        <w:rPr>
          <w:sz w:val="24"/>
        </w:rPr>
        <w:t>16</w:t>
      </w:r>
      <w:r>
        <w:rPr>
          <w:sz w:val="24"/>
        </w:rPr>
        <w:t xml:space="preserve">. Agencies agree that such a side event shall feature </w:t>
      </w:r>
      <w:r w:rsidR="00650CDD">
        <w:rPr>
          <w:sz w:val="24"/>
        </w:rPr>
        <w:t xml:space="preserve">the </w:t>
      </w:r>
      <w:r>
        <w:rPr>
          <w:sz w:val="24"/>
        </w:rPr>
        <w:t xml:space="preserve">realities of climate change on the ground and </w:t>
      </w:r>
      <w:r w:rsidR="007D1E26">
        <w:rPr>
          <w:sz w:val="24"/>
        </w:rPr>
        <w:t xml:space="preserve">could </w:t>
      </w:r>
      <w:r>
        <w:rPr>
          <w:sz w:val="24"/>
        </w:rPr>
        <w:t xml:space="preserve">have government </w:t>
      </w:r>
      <w:r w:rsidR="007D1E26">
        <w:rPr>
          <w:sz w:val="24"/>
        </w:rPr>
        <w:t>representatives and external experts on the panel</w:t>
      </w:r>
      <w:r>
        <w:rPr>
          <w:sz w:val="24"/>
        </w:rPr>
        <w:t>.</w:t>
      </w:r>
    </w:p>
    <w:p w:rsidR="008C0845" w:rsidRDefault="008C0845" w:rsidP="008C0845">
      <w:pPr>
        <w:spacing w:before="120"/>
        <w:rPr>
          <w:sz w:val="24"/>
        </w:rPr>
      </w:pPr>
      <w:r>
        <w:rPr>
          <w:sz w:val="24"/>
        </w:rPr>
        <w:t xml:space="preserve">The </w:t>
      </w:r>
      <w:r w:rsidR="00EA2DE5">
        <w:rPr>
          <w:sz w:val="24"/>
        </w:rPr>
        <w:t xml:space="preserve">IASC will explore opportunities for organising a </w:t>
      </w:r>
      <w:r w:rsidR="00EA2DE5" w:rsidRPr="00EA2DE5">
        <w:rPr>
          <w:sz w:val="24"/>
          <w:u w:val="single"/>
        </w:rPr>
        <w:t>joint Humanitarian Day</w:t>
      </w:r>
      <w:r w:rsidR="00EA2DE5">
        <w:rPr>
          <w:sz w:val="24"/>
        </w:rPr>
        <w:t xml:space="preserve"> at </w:t>
      </w:r>
      <w:smartTag w:uri="urn:schemas-microsoft-com:office:smarttags" w:element="stockticker">
        <w:r w:rsidR="00EA2DE5">
          <w:rPr>
            <w:sz w:val="24"/>
          </w:rPr>
          <w:t>COP</w:t>
        </w:r>
      </w:smartTag>
      <w:r w:rsidR="00EA2DE5">
        <w:rPr>
          <w:sz w:val="24"/>
        </w:rPr>
        <w:t>16</w:t>
      </w:r>
      <w:r w:rsidR="00DF7333">
        <w:rPr>
          <w:sz w:val="24"/>
        </w:rPr>
        <w:t xml:space="preserve">, but will not strive to replicate the high-level participation achieved in </w:t>
      </w:r>
      <w:smartTag w:uri="urn:schemas-microsoft-com:office:smarttags" w:element="stockticker">
        <w:r w:rsidR="00DF7333">
          <w:rPr>
            <w:sz w:val="24"/>
          </w:rPr>
          <w:t>COP</w:t>
        </w:r>
      </w:smartTag>
      <w:r w:rsidR="00DF7333">
        <w:rPr>
          <w:sz w:val="24"/>
        </w:rPr>
        <w:t>15</w:t>
      </w:r>
      <w:r w:rsidR="00EA2DE5">
        <w:rPr>
          <w:sz w:val="24"/>
        </w:rPr>
        <w:t>.</w:t>
      </w:r>
    </w:p>
    <w:p w:rsidR="007D1E26" w:rsidRPr="00DF7333" w:rsidRDefault="007D1E26" w:rsidP="00931744">
      <w:pPr>
        <w:numPr>
          <w:ilvl w:val="0"/>
          <w:numId w:val="36"/>
        </w:numPr>
        <w:tabs>
          <w:tab w:val="clear" w:pos="567"/>
          <w:tab w:val="clear" w:pos="720"/>
          <w:tab w:val="clear" w:pos="992"/>
          <w:tab w:val="left" w:pos="709"/>
        </w:tabs>
        <w:spacing w:before="160"/>
        <w:ind w:left="714" w:hanging="357"/>
        <w:rPr>
          <w:sz w:val="24"/>
          <w:u w:val="single"/>
        </w:rPr>
      </w:pPr>
      <w:r w:rsidRPr="00DF7333">
        <w:rPr>
          <w:sz w:val="24"/>
          <w:u w:val="single"/>
        </w:rPr>
        <w:t>Global events outside of the UNFCCC process</w:t>
      </w:r>
    </w:p>
    <w:p w:rsidR="00265B37" w:rsidRPr="00265B37" w:rsidRDefault="00374CE1" w:rsidP="00265B37">
      <w:pPr>
        <w:spacing w:before="120"/>
        <w:rPr>
          <w:bCs/>
        </w:rPr>
      </w:pPr>
      <w:r>
        <w:rPr>
          <w:sz w:val="24"/>
        </w:rPr>
        <w:t>Agencies have identified a number of events (see calendar, point VI)</w:t>
      </w:r>
      <w:r w:rsidR="00C17AB0">
        <w:rPr>
          <w:sz w:val="24"/>
        </w:rPr>
        <w:t xml:space="preserve"> including for example the Midterm R</w:t>
      </w:r>
      <w:r w:rsidR="00265B37" w:rsidRPr="00265B37">
        <w:rPr>
          <w:sz w:val="24"/>
        </w:rPr>
        <w:t>e</w:t>
      </w:r>
      <w:r w:rsidR="00C17AB0">
        <w:rPr>
          <w:sz w:val="24"/>
        </w:rPr>
        <w:t>view of the Hyogo Framework of A</w:t>
      </w:r>
      <w:r w:rsidR="00265B37" w:rsidRPr="00265B37">
        <w:rPr>
          <w:sz w:val="24"/>
        </w:rPr>
        <w:t xml:space="preserve">ction </w:t>
      </w:r>
      <w:r w:rsidR="00C17AB0">
        <w:rPr>
          <w:sz w:val="24"/>
        </w:rPr>
        <w:t xml:space="preserve">(HFA) </w:t>
      </w:r>
      <w:r w:rsidR="00265B37" w:rsidRPr="00265B37">
        <w:rPr>
          <w:sz w:val="24"/>
        </w:rPr>
        <w:t xml:space="preserve">and the </w:t>
      </w:r>
      <w:smartTag w:uri="urn:schemas-microsoft-com:office:smarttags" w:element="stockticker">
        <w:r w:rsidR="00265B37" w:rsidRPr="00265B37">
          <w:rPr>
            <w:sz w:val="24"/>
          </w:rPr>
          <w:t>MDG</w:t>
        </w:r>
      </w:smartTag>
      <w:r w:rsidR="00265B37" w:rsidRPr="00265B37">
        <w:rPr>
          <w:sz w:val="24"/>
        </w:rPr>
        <w:t xml:space="preserve"> revision.</w:t>
      </w:r>
    </w:p>
    <w:p w:rsidR="004901B3" w:rsidRDefault="004901B3" w:rsidP="00650CDD">
      <w:pPr>
        <w:spacing w:before="120"/>
        <w:rPr>
          <w:sz w:val="24"/>
        </w:rPr>
      </w:pPr>
      <w:r w:rsidRPr="00DF7333">
        <w:rPr>
          <w:sz w:val="24"/>
        </w:rPr>
        <w:t>IASC agenc</w:t>
      </w:r>
      <w:r>
        <w:rPr>
          <w:sz w:val="24"/>
        </w:rPr>
        <w:t>i</w:t>
      </w:r>
      <w:r w:rsidRPr="00DF7333">
        <w:rPr>
          <w:sz w:val="24"/>
        </w:rPr>
        <w:t>es</w:t>
      </w:r>
      <w:r>
        <w:rPr>
          <w:sz w:val="24"/>
        </w:rPr>
        <w:t>,</w:t>
      </w:r>
      <w:r w:rsidRPr="00DF7333">
        <w:rPr>
          <w:sz w:val="24"/>
        </w:rPr>
        <w:t xml:space="preserve"> with the support of the IASC Climate Change Task Force Secretariat</w:t>
      </w:r>
      <w:r>
        <w:rPr>
          <w:sz w:val="24"/>
        </w:rPr>
        <w:t>,</w:t>
      </w:r>
      <w:r w:rsidRPr="00DF7333">
        <w:rPr>
          <w:sz w:val="24"/>
        </w:rPr>
        <w:t xml:space="preserve"> will generate one or more op</w:t>
      </w:r>
      <w:r>
        <w:rPr>
          <w:sz w:val="24"/>
        </w:rPr>
        <w:t>i</w:t>
      </w:r>
      <w:r w:rsidRPr="00DF7333">
        <w:rPr>
          <w:sz w:val="24"/>
        </w:rPr>
        <w:t xml:space="preserve">nion pieces and </w:t>
      </w:r>
      <w:r w:rsidR="00650CDD">
        <w:rPr>
          <w:sz w:val="24"/>
        </w:rPr>
        <w:t>encourage</w:t>
      </w:r>
      <w:r w:rsidRPr="00DF7333">
        <w:rPr>
          <w:sz w:val="24"/>
        </w:rPr>
        <w:t xml:space="preserve"> high-level figures in IASC agencies to submit these to major publications</w:t>
      </w:r>
      <w:r w:rsidR="003057B6">
        <w:rPr>
          <w:sz w:val="24"/>
        </w:rPr>
        <w:t xml:space="preserve"> or deliver them through public/media events</w:t>
      </w:r>
      <w:r w:rsidRPr="00DF7333">
        <w:rPr>
          <w:sz w:val="24"/>
        </w:rPr>
        <w:t>.</w:t>
      </w:r>
    </w:p>
    <w:p w:rsidR="004901B3" w:rsidRPr="004901B3" w:rsidRDefault="004901B3" w:rsidP="004901B3">
      <w:pPr>
        <w:spacing w:before="120"/>
        <w:rPr>
          <w:sz w:val="24"/>
        </w:rPr>
      </w:pPr>
      <w:r w:rsidRPr="004901B3">
        <w:rPr>
          <w:sz w:val="24"/>
        </w:rPr>
        <w:t>Some agencies are exploring social media opportunities to capture online supporters to advocate and inform on the subject of integrating climate change considerations into humanitarian work</w:t>
      </w:r>
      <w:r>
        <w:rPr>
          <w:sz w:val="24"/>
        </w:rPr>
        <w:t>.</w:t>
      </w:r>
    </w:p>
    <w:p w:rsidR="00B744DA" w:rsidRPr="00265B37" w:rsidRDefault="00EA2DE5" w:rsidP="00265B37">
      <w:pPr>
        <w:spacing w:before="240"/>
        <w:rPr>
          <w:b/>
          <w:sz w:val="24"/>
          <w:u w:val="single"/>
          <w:lang w:val="en-US"/>
        </w:rPr>
      </w:pPr>
      <w:r w:rsidRPr="00265B37">
        <w:rPr>
          <w:b/>
          <w:sz w:val="24"/>
          <w:u w:val="single"/>
          <w:lang w:val="en-US"/>
        </w:rPr>
        <w:t>At the regional level</w:t>
      </w:r>
    </w:p>
    <w:p w:rsidR="00BB15CE" w:rsidRDefault="006B74E8" w:rsidP="00650CDD">
      <w:pPr>
        <w:spacing w:before="120"/>
        <w:rPr>
          <w:sz w:val="24"/>
        </w:rPr>
      </w:pPr>
      <w:r>
        <w:rPr>
          <w:sz w:val="24"/>
        </w:rPr>
        <w:t xml:space="preserve">The overall objective is to </w:t>
      </w:r>
      <w:r w:rsidR="00374CE1">
        <w:rPr>
          <w:sz w:val="24"/>
        </w:rPr>
        <w:t xml:space="preserve">provide technical input </w:t>
      </w:r>
      <w:r w:rsidR="00C7092E">
        <w:rPr>
          <w:sz w:val="24"/>
        </w:rPr>
        <w:t xml:space="preserve">and </w:t>
      </w:r>
      <w:r w:rsidR="00650CDD">
        <w:rPr>
          <w:sz w:val="24"/>
        </w:rPr>
        <w:t xml:space="preserve">describe </w:t>
      </w:r>
      <w:r w:rsidR="00C7092E">
        <w:rPr>
          <w:sz w:val="24"/>
        </w:rPr>
        <w:t xml:space="preserve">real-world experiences </w:t>
      </w:r>
      <w:r w:rsidR="00650CDD">
        <w:rPr>
          <w:sz w:val="24"/>
        </w:rPr>
        <w:t xml:space="preserve">to inform </w:t>
      </w:r>
      <w:r w:rsidR="00374CE1">
        <w:rPr>
          <w:sz w:val="24"/>
        </w:rPr>
        <w:t xml:space="preserve">policy processes and </w:t>
      </w:r>
      <w:r w:rsidR="00C7092E">
        <w:rPr>
          <w:sz w:val="24"/>
        </w:rPr>
        <w:t>help</w:t>
      </w:r>
      <w:r w:rsidR="00E01A5A">
        <w:rPr>
          <w:sz w:val="24"/>
        </w:rPr>
        <w:t xml:space="preserve"> </w:t>
      </w:r>
      <w:r w:rsidR="00C7092E">
        <w:rPr>
          <w:sz w:val="24"/>
        </w:rPr>
        <w:t xml:space="preserve">create an enabling environment for </w:t>
      </w:r>
      <w:r>
        <w:rPr>
          <w:sz w:val="24"/>
        </w:rPr>
        <w:t>scal</w:t>
      </w:r>
      <w:r w:rsidR="00C7092E">
        <w:rPr>
          <w:sz w:val="24"/>
        </w:rPr>
        <w:t>ing</w:t>
      </w:r>
      <w:r>
        <w:rPr>
          <w:sz w:val="24"/>
        </w:rPr>
        <w:t>-up practical climate change activities through coordinated advocacy efforts.</w:t>
      </w:r>
      <w:r w:rsidR="001428E1">
        <w:rPr>
          <w:sz w:val="24"/>
        </w:rPr>
        <w:t xml:space="preserve"> Agencies are encouraged to: </w:t>
      </w:r>
    </w:p>
    <w:p w:rsidR="00BB15CE" w:rsidRPr="006B74E8" w:rsidRDefault="003057B6" w:rsidP="006B74E8">
      <w:pPr>
        <w:numPr>
          <w:ilvl w:val="0"/>
          <w:numId w:val="36"/>
        </w:numPr>
        <w:tabs>
          <w:tab w:val="clear" w:pos="567"/>
          <w:tab w:val="clear" w:pos="720"/>
          <w:tab w:val="clear" w:pos="992"/>
          <w:tab w:val="left" w:pos="709"/>
        </w:tabs>
        <w:spacing w:before="60"/>
        <w:ind w:left="714" w:hanging="357"/>
        <w:rPr>
          <w:rStyle w:val="Emphasis"/>
          <w:b w:val="0"/>
          <w:color w:val="000000"/>
          <w:sz w:val="24"/>
        </w:rPr>
      </w:pPr>
      <w:r>
        <w:rPr>
          <w:rStyle w:val="Emphasis"/>
          <w:b w:val="0"/>
          <w:color w:val="000000"/>
          <w:sz w:val="24"/>
        </w:rPr>
        <w:t>E</w:t>
      </w:r>
      <w:r w:rsidRPr="006B74E8">
        <w:rPr>
          <w:rStyle w:val="Emphasis"/>
          <w:b w:val="0"/>
          <w:color w:val="000000"/>
          <w:sz w:val="24"/>
        </w:rPr>
        <w:t xml:space="preserve">xplore </w:t>
      </w:r>
      <w:r w:rsidR="00BE29A5" w:rsidRPr="006B74E8">
        <w:rPr>
          <w:rStyle w:val="Emphasis"/>
          <w:b w:val="0"/>
          <w:color w:val="000000"/>
          <w:sz w:val="24"/>
        </w:rPr>
        <w:t xml:space="preserve">opportunities </w:t>
      </w:r>
      <w:r w:rsidR="00C24053" w:rsidRPr="006B74E8">
        <w:rPr>
          <w:rStyle w:val="Emphasis"/>
          <w:b w:val="0"/>
          <w:color w:val="000000"/>
          <w:sz w:val="24"/>
        </w:rPr>
        <w:t>for</w:t>
      </w:r>
      <w:r w:rsidR="00BE29A5" w:rsidRPr="006B74E8">
        <w:rPr>
          <w:rStyle w:val="Emphasis"/>
          <w:b w:val="0"/>
          <w:color w:val="000000"/>
          <w:sz w:val="24"/>
        </w:rPr>
        <w:t xml:space="preserve"> advocacy </w:t>
      </w:r>
      <w:r w:rsidR="00127B57" w:rsidRPr="006B74E8">
        <w:rPr>
          <w:rStyle w:val="Emphasis"/>
          <w:b w:val="0"/>
          <w:color w:val="000000"/>
          <w:sz w:val="24"/>
        </w:rPr>
        <w:t>with</w:t>
      </w:r>
      <w:r w:rsidR="00BB15CE" w:rsidRPr="006B74E8">
        <w:rPr>
          <w:rStyle w:val="Emphasis"/>
          <w:b w:val="0"/>
          <w:color w:val="000000"/>
          <w:sz w:val="24"/>
        </w:rPr>
        <w:t>in regional fora, such as intergovernmental and ministerial conferences on climate change adaptation</w:t>
      </w:r>
      <w:r>
        <w:rPr>
          <w:rStyle w:val="Emphasis"/>
          <w:b w:val="0"/>
          <w:color w:val="000000"/>
          <w:sz w:val="24"/>
        </w:rPr>
        <w:t>.</w:t>
      </w:r>
    </w:p>
    <w:p w:rsidR="00BA137C" w:rsidRPr="006B74E8" w:rsidRDefault="003057B6" w:rsidP="006B74E8">
      <w:pPr>
        <w:numPr>
          <w:ilvl w:val="0"/>
          <w:numId w:val="36"/>
        </w:numPr>
        <w:tabs>
          <w:tab w:val="clear" w:pos="567"/>
          <w:tab w:val="clear" w:pos="720"/>
          <w:tab w:val="clear" w:pos="992"/>
          <w:tab w:val="left" w:pos="709"/>
        </w:tabs>
        <w:spacing w:before="60"/>
        <w:ind w:left="714" w:hanging="357"/>
        <w:rPr>
          <w:rStyle w:val="Emphasis"/>
          <w:b w:val="0"/>
          <w:color w:val="000000"/>
          <w:sz w:val="24"/>
        </w:rPr>
      </w:pPr>
      <w:r>
        <w:rPr>
          <w:rStyle w:val="Emphasis"/>
          <w:b w:val="0"/>
          <w:color w:val="000000"/>
          <w:sz w:val="24"/>
        </w:rPr>
        <w:t>L</w:t>
      </w:r>
      <w:r w:rsidRPr="006B74E8">
        <w:rPr>
          <w:rStyle w:val="Emphasis"/>
          <w:b w:val="0"/>
          <w:color w:val="000000"/>
          <w:sz w:val="24"/>
        </w:rPr>
        <w:t xml:space="preserve">ink </w:t>
      </w:r>
      <w:r w:rsidR="00BB15CE" w:rsidRPr="006B74E8">
        <w:rPr>
          <w:rStyle w:val="Emphasis"/>
          <w:b w:val="0"/>
          <w:color w:val="000000"/>
          <w:sz w:val="24"/>
        </w:rPr>
        <w:t xml:space="preserve">with regional organisations </w:t>
      </w:r>
      <w:r w:rsidR="009162EA" w:rsidRPr="006B74E8">
        <w:rPr>
          <w:rStyle w:val="Emphasis"/>
          <w:b w:val="0"/>
          <w:color w:val="000000"/>
          <w:sz w:val="24"/>
        </w:rPr>
        <w:t xml:space="preserve">involved in climate change adaptation as well as </w:t>
      </w:r>
      <w:r w:rsidR="0023553D" w:rsidRPr="006B74E8">
        <w:rPr>
          <w:rStyle w:val="Emphasis"/>
          <w:b w:val="0"/>
          <w:color w:val="000000"/>
          <w:sz w:val="24"/>
        </w:rPr>
        <w:t>with sub</w:t>
      </w:r>
      <w:r w:rsidR="009162EA" w:rsidRPr="006B74E8">
        <w:rPr>
          <w:rStyle w:val="Emphasis"/>
          <w:b w:val="0"/>
          <w:color w:val="000000"/>
          <w:sz w:val="24"/>
        </w:rPr>
        <w:t>-regional mechanisms for humanitarian assistance and risk</w:t>
      </w:r>
      <w:r>
        <w:rPr>
          <w:rStyle w:val="Emphasis"/>
          <w:b w:val="0"/>
          <w:color w:val="000000"/>
          <w:sz w:val="24"/>
        </w:rPr>
        <w:t xml:space="preserve"> reduction</w:t>
      </w:r>
      <w:r w:rsidR="00C24053" w:rsidRPr="006B74E8">
        <w:rPr>
          <w:rStyle w:val="Emphasis"/>
          <w:b w:val="0"/>
          <w:color w:val="000000"/>
          <w:sz w:val="24"/>
        </w:rPr>
        <w:t>.</w:t>
      </w:r>
      <w:r w:rsidR="009162EA" w:rsidRPr="006B74E8">
        <w:rPr>
          <w:rStyle w:val="Emphasis"/>
          <w:b w:val="0"/>
          <w:color w:val="000000"/>
          <w:sz w:val="24"/>
        </w:rPr>
        <w:t xml:space="preserve"> (</w:t>
      </w:r>
      <w:r w:rsidR="00C24053" w:rsidRPr="006B74E8">
        <w:rPr>
          <w:rStyle w:val="Emphasis"/>
          <w:b w:val="0"/>
          <w:color w:val="000000"/>
          <w:sz w:val="24"/>
        </w:rPr>
        <w:t>E</w:t>
      </w:r>
      <w:r w:rsidR="009162EA" w:rsidRPr="006B74E8">
        <w:rPr>
          <w:rStyle w:val="Emphasis"/>
          <w:b w:val="0"/>
          <w:color w:val="000000"/>
          <w:sz w:val="24"/>
        </w:rPr>
        <w:t xml:space="preserve">.g. </w:t>
      </w:r>
      <w:r w:rsidR="00BA137C" w:rsidRPr="006B74E8">
        <w:rPr>
          <w:rStyle w:val="Emphasis"/>
          <w:b w:val="0"/>
          <w:color w:val="000000"/>
          <w:sz w:val="24"/>
        </w:rPr>
        <w:t>AU, ECOWAS, ASEAN,</w:t>
      </w:r>
      <w:r w:rsidR="009162EA" w:rsidRPr="006B74E8">
        <w:rPr>
          <w:rStyle w:val="Emphasis"/>
          <w:b w:val="0"/>
          <w:color w:val="000000"/>
          <w:sz w:val="24"/>
        </w:rPr>
        <w:t xml:space="preserve"> </w:t>
      </w:r>
      <w:r w:rsidR="009F029A" w:rsidRPr="006B74E8">
        <w:rPr>
          <w:rStyle w:val="Emphasis"/>
          <w:b w:val="0"/>
          <w:color w:val="000000"/>
          <w:sz w:val="24"/>
        </w:rPr>
        <w:t>CAPRADE, CDEMA, CEPREDENAC, and REHU, the Forum on Coordination and Cooperation of Subregional Agencies for Disaster Risk Management in the Americas)</w:t>
      </w:r>
      <w:r>
        <w:rPr>
          <w:rStyle w:val="Emphasis"/>
          <w:b w:val="0"/>
          <w:color w:val="000000"/>
          <w:sz w:val="24"/>
        </w:rPr>
        <w:t>.</w:t>
      </w:r>
    </w:p>
    <w:p w:rsidR="00EA2DE5" w:rsidRPr="006B74E8" w:rsidRDefault="003057B6" w:rsidP="00650CDD">
      <w:pPr>
        <w:numPr>
          <w:ilvl w:val="0"/>
          <w:numId w:val="36"/>
        </w:numPr>
        <w:tabs>
          <w:tab w:val="clear" w:pos="567"/>
          <w:tab w:val="clear" w:pos="720"/>
          <w:tab w:val="clear" w:pos="992"/>
          <w:tab w:val="left" w:pos="709"/>
        </w:tabs>
        <w:spacing w:before="60"/>
        <w:ind w:left="714" w:hanging="357"/>
        <w:rPr>
          <w:rStyle w:val="Emphasis"/>
          <w:b w:val="0"/>
          <w:color w:val="000000"/>
          <w:sz w:val="24"/>
        </w:rPr>
      </w:pPr>
      <w:r>
        <w:rPr>
          <w:rStyle w:val="Emphasis"/>
          <w:b w:val="0"/>
          <w:color w:val="000000"/>
          <w:sz w:val="24"/>
        </w:rPr>
        <w:lastRenderedPageBreak/>
        <w:t>S</w:t>
      </w:r>
      <w:r w:rsidRPr="006B74E8">
        <w:rPr>
          <w:rStyle w:val="Emphasis"/>
          <w:b w:val="0"/>
          <w:color w:val="000000"/>
          <w:sz w:val="24"/>
        </w:rPr>
        <w:t xml:space="preserve">trengthen </w:t>
      </w:r>
      <w:r w:rsidR="00650CDD">
        <w:rPr>
          <w:rStyle w:val="Emphasis"/>
          <w:b w:val="0"/>
          <w:color w:val="000000"/>
          <w:sz w:val="24"/>
        </w:rPr>
        <w:t>‘</w:t>
      </w:r>
      <w:r w:rsidR="00471BE7" w:rsidRPr="006B74E8">
        <w:rPr>
          <w:rStyle w:val="Emphasis"/>
          <w:b w:val="0"/>
          <w:color w:val="000000"/>
          <w:sz w:val="24"/>
        </w:rPr>
        <w:t xml:space="preserve">early </w:t>
      </w:r>
      <w:r w:rsidR="003D40E4" w:rsidRPr="006B74E8">
        <w:rPr>
          <w:rStyle w:val="Emphasis"/>
          <w:b w:val="0"/>
          <w:color w:val="000000"/>
          <w:sz w:val="24"/>
        </w:rPr>
        <w:t>warning</w:t>
      </w:r>
      <w:r w:rsidR="00650CDD">
        <w:rPr>
          <w:rStyle w:val="Emphasis"/>
          <w:b w:val="0"/>
          <w:color w:val="000000"/>
          <w:sz w:val="24"/>
        </w:rPr>
        <w:t>-</w:t>
      </w:r>
      <w:r w:rsidR="003D40E4" w:rsidRPr="006B74E8">
        <w:rPr>
          <w:rStyle w:val="Emphasis"/>
          <w:b w:val="0"/>
          <w:color w:val="000000"/>
          <w:sz w:val="24"/>
        </w:rPr>
        <w:t>early action</w:t>
      </w:r>
      <w:r w:rsidR="00650CDD">
        <w:rPr>
          <w:rStyle w:val="Emphasis"/>
          <w:b w:val="0"/>
          <w:color w:val="000000"/>
          <w:sz w:val="24"/>
        </w:rPr>
        <w:t>’</w:t>
      </w:r>
      <w:r w:rsidR="003D40E4" w:rsidRPr="006B74E8">
        <w:rPr>
          <w:rStyle w:val="Emphasis"/>
          <w:b w:val="0"/>
          <w:color w:val="000000"/>
          <w:sz w:val="24"/>
        </w:rPr>
        <w:t xml:space="preserve"> </w:t>
      </w:r>
      <w:r w:rsidR="00471BE7" w:rsidRPr="006B74E8">
        <w:rPr>
          <w:rStyle w:val="Emphasis"/>
          <w:b w:val="0"/>
          <w:color w:val="000000"/>
          <w:sz w:val="24"/>
        </w:rPr>
        <w:t xml:space="preserve">partnerships with regional </w:t>
      </w:r>
      <w:r w:rsidR="00BB15CE" w:rsidRPr="006B74E8">
        <w:rPr>
          <w:rStyle w:val="Emphasis"/>
          <w:b w:val="0"/>
          <w:color w:val="000000"/>
          <w:sz w:val="24"/>
        </w:rPr>
        <w:t xml:space="preserve">knowledge </w:t>
      </w:r>
      <w:r w:rsidR="00471BE7" w:rsidRPr="006B74E8">
        <w:rPr>
          <w:rStyle w:val="Emphasis"/>
          <w:b w:val="0"/>
          <w:color w:val="000000"/>
          <w:sz w:val="24"/>
        </w:rPr>
        <w:t xml:space="preserve">centres </w:t>
      </w:r>
      <w:r w:rsidR="00BB15CE" w:rsidRPr="006B74E8">
        <w:rPr>
          <w:rStyle w:val="Emphasis"/>
          <w:b w:val="0"/>
          <w:color w:val="000000"/>
          <w:sz w:val="24"/>
        </w:rPr>
        <w:t xml:space="preserve">and clearing houses </w:t>
      </w:r>
      <w:r w:rsidR="00471BE7" w:rsidRPr="006B74E8">
        <w:rPr>
          <w:rStyle w:val="Emphasis"/>
          <w:b w:val="0"/>
          <w:color w:val="000000"/>
          <w:sz w:val="24"/>
        </w:rPr>
        <w:t>o</w:t>
      </w:r>
      <w:r w:rsidR="00BB15CE" w:rsidRPr="006B74E8">
        <w:rPr>
          <w:rStyle w:val="Emphasis"/>
          <w:b w:val="0"/>
          <w:color w:val="000000"/>
          <w:sz w:val="24"/>
        </w:rPr>
        <w:t xml:space="preserve">n weather and climate services, </w:t>
      </w:r>
      <w:r w:rsidR="00471BE7" w:rsidRPr="006B74E8">
        <w:rPr>
          <w:rStyle w:val="Emphasis"/>
          <w:b w:val="0"/>
          <w:color w:val="000000"/>
          <w:sz w:val="24"/>
        </w:rPr>
        <w:t>climate change adaptation and environmental expertise</w:t>
      </w:r>
      <w:r>
        <w:rPr>
          <w:rStyle w:val="Emphasis"/>
          <w:b w:val="0"/>
          <w:color w:val="000000"/>
          <w:sz w:val="24"/>
        </w:rPr>
        <w:t>.</w:t>
      </w:r>
    </w:p>
    <w:p w:rsidR="00C24053" w:rsidRPr="006B74E8" w:rsidRDefault="00C24053" w:rsidP="006B74E8">
      <w:pPr>
        <w:numPr>
          <w:ilvl w:val="0"/>
          <w:numId w:val="36"/>
        </w:numPr>
        <w:tabs>
          <w:tab w:val="clear" w:pos="567"/>
          <w:tab w:val="clear" w:pos="720"/>
          <w:tab w:val="clear" w:pos="992"/>
          <w:tab w:val="left" w:pos="709"/>
        </w:tabs>
        <w:spacing w:before="60"/>
        <w:ind w:left="714" w:hanging="357"/>
        <w:rPr>
          <w:rStyle w:val="Emphasis"/>
          <w:b w:val="0"/>
          <w:color w:val="000000"/>
          <w:sz w:val="24"/>
        </w:rPr>
      </w:pPr>
      <w:r w:rsidRPr="006B74E8">
        <w:rPr>
          <w:rStyle w:val="Emphasis"/>
          <w:b w:val="0"/>
          <w:color w:val="000000"/>
          <w:sz w:val="24"/>
        </w:rPr>
        <w:t>Generate coverage, including Op-eds, to convey key advocacy messages</w:t>
      </w:r>
      <w:r w:rsidR="003057B6">
        <w:rPr>
          <w:rStyle w:val="Emphasis"/>
          <w:b w:val="0"/>
          <w:color w:val="000000"/>
          <w:sz w:val="24"/>
        </w:rPr>
        <w:t>.</w:t>
      </w:r>
      <w:r w:rsidRPr="006B74E8">
        <w:rPr>
          <w:rStyle w:val="Emphasis"/>
          <w:b w:val="0"/>
          <w:color w:val="000000"/>
          <w:sz w:val="24"/>
        </w:rPr>
        <w:t xml:space="preserve"> </w:t>
      </w:r>
    </w:p>
    <w:p w:rsidR="00C24053" w:rsidRPr="006B74E8" w:rsidRDefault="00C24053" w:rsidP="006B74E8">
      <w:pPr>
        <w:numPr>
          <w:ilvl w:val="0"/>
          <w:numId w:val="36"/>
        </w:numPr>
        <w:tabs>
          <w:tab w:val="clear" w:pos="567"/>
          <w:tab w:val="clear" w:pos="720"/>
          <w:tab w:val="clear" w:pos="992"/>
          <w:tab w:val="left" w:pos="709"/>
        </w:tabs>
        <w:spacing w:before="60"/>
        <w:ind w:left="714" w:hanging="357"/>
        <w:rPr>
          <w:rStyle w:val="Emphasis"/>
          <w:b w:val="0"/>
          <w:color w:val="000000"/>
          <w:sz w:val="24"/>
        </w:rPr>
      </w:pPr>
      <w:r w:rsidRPr="006B74E8">
        <w:rPr>
          <w:rStyle w:val="Emphasis"/>
          <w:b w:val="0"/>
          <w:color w:val="000000"/>
          <w:sz w:val="24"/>
        </w:rPr>
        <w:t xml:space="preserve">IASC agencies will enhance efforts to integrate advocacy components into their existing climate change adaptation activities to highlight, communicate, document and share examples of practical activities to reduce climate change impacts. For example, a number of IASC agencies are collaborating on an initiative in Nepal to increase adaptation activities through a better alignment of </w:t>
      </w:r>
      <w:r w:rsidR="00B33D3B" w:rsidRPr="006B74E8">
        <w:rPr>
          <w:rStyle w:val="Emphasis"/>
          <w:b w:val="0"/>
          <w:color w:val="000000"/>
          <w:sz w:val="24"/>
        </w:rPr>
        <w:t>disaster risk reduction and climate change adaptation</w:t>
      </w:r>
      <w:r w:rsidRPr="006B74E8">
        <w:rPr>
          <w:rStyle w:val="Emphasis"/>
          <w:b w:val="0"/>
          <w:color w:val="000000"/>
          <w:sz w:val="24"/>
        </w:rPr>
        <w:t xml:space="preserve"> efforts. </w:t>
      </w:r>
      <w:r w:rsidR="006E65E8" w:rsidRPr="006B74E8">
        <w:rPr>
          <w:rStyle w:val="Emphasis"/>
          <w:b w:val="0"/>
          <w:color w:val="000000"/>
          <w:sz w:val="24"/>
        </w:rPr>
        <w:t xml:space="preserve">IASC agencies undertake to </w:t>
      </w:r>
      <w:r w:rsidR="003057B6">
        <w:rPr>
          <w:rStyle w:val="Emphasis"/>
          <w:b w:val="0"/>
          <w:color w:val="000000"/>
          <w:sz w:val="24"/>
        </w:rPr>
        <w:t>disseminate</w:t>
      </w:r>
      <w:r w:rsidR="003057B6" w:rsidRPr="006B74E8">
        <w:rPr>
          <w:rStyle w:val="Emphasis"/>
          <w:b w:val="0"/>
          <w:color w:val="000000"/>
          <w:sz w:val="24"/>
        </w:rPr>
        <w:t xml:space="preserve"> </w:t>
      </w:r>
      <w:r w:rsidR="003057B6">
        <w:rPr>
          <w:rStyle w:val="Emphasis"/>
          <w:b w:val="0"/>
          <w:color w:val="000000"/>
          <w:sz w:val="24"/>
        </w:rPr>
        <w:t>good practices</w:t>
      </w:r>
      <w:r w:rsidR="006E65E8" w:rsidRPr="006B74E8">
        <w:rPr>
          <w:rStyle w:val="Emphasis"/>
          <w:b w:val="0"/>
          <w:color w:val="000000"/>
          <w:sz w:val="24"/>
        </w:rPr>
        <w:t xml:space="preserve"> through the TF Secretariat</w:t>
      </w:r>
      <w:r w:rsidR="003057B6">
        <w:rPr>
          <w:rStyle w:val="Emphasis"/>
          <w:b w:val="0"/>
          <w:color w:val="000000"/>
          <w:sz w:val="24"/>
        </w:rPr>
        <w:t xml:space="preserve"> as well as their own institutions</w:t>
      </w:r>
      <w:r w:rsidR="006E65E8" w:rsidRPr="006B74E8">
        <w:rPr>
          <w:rStyle w:val="Emphasis"/>
          <w:b w:val="0"/>
          <w:color w:val="000000"/>
          <w:sz w:val="24"/>
        </w:rPr>
        <w:t>.</w:t>
      </w:r>
    </w:p>
    <w:p w:rsidR="00BB15CE" w:rsidRPr="006B74E8" w:rsidRDefault="00BB15CE" w:rsidP="006B74E8">
      <w:pPr>
        <w:tabs>
          <w:tab w:val="clear" w:pos="567"/>
          <w:tab w:val="clear" w:pos="992"/>
        </w:tabs>
        <w:spacing w:before="60"/>
        <w:ind w:left="714"/>
        <w:rPr>
          <w:rStyle w:val="Emphasis"/>
          <w:b w:val="0"/>
          <w:color w:val="000000"/>
          <w:sz w:val="24"/>
        </w:rPr>
      </w:pPr>
    </w:p>
    <w:p w:rsidR="00EA2DE5" w:rsidRPr="00EA2DE5" w:rsidRDefault="00EA2DE5" w:rsidP="00B744DA">
      <w:pPr>
        <w:spacing w:before="120"/>
        <w:rPr>
          <w:sz w:val="24"/>
        </w:rPr>
      </w:pPr>
      <w:r>
        <w:rPr>
          <w:b/>
          <w:sz w:val="24"/>
          <w:u w:val="single"/>
        </w:rPr>
        <w:t>At the national and sub-national level</w:t>
      </w:r>
    </w:p>
    <w:p w:rsidR="00E17016" w:rsidRPr="008D24C6" w:rsidRDefault="00E17016" w:rsidP="00B744DA">
      <w:pPr>
        <w:spacing w:before="120"/>
        <w:rPr>
          <w:sz w:val="24"/>
        </w:rPr>
      </w:pPr>
      <w:r w:rsidRPr="008D24C6">
        <w:rPr>
          <w:sz w:val="24"/>
        </w:rPr>
        <w:t>Governments, especially at the national level, are perceived to be ope</w:t>
      </w:r>
      <w:r w:rsidR="00460B80" w:rsidRPr="008D24C6">
        <w:rPr>
          <w:sz w:val="24"/>
        </w:rPr>
        <w:t xml:space="preserve">n to discuss </w:t>
      </w:r>
      <w:r w:rsidR="00B363A6" w:rsidRPr="008D24C6">
        <w:rPr>
          <w:sz w:val="24"/>
        </w:rPr>
        <w:t xml:space="preserve">policy issues and </w:t>
      </w:r>
      <w:r w:rsidR="00AC7F5A" w:rsidRPr="008D24C6">
        <w:rPr>
          <w:sz w:val="24"/>
        </w:rPr>
        <w:t>technical solutions to</w:t>
      </w:r>
      <w:r w:rsidRPr="008D24C6">
        <w:rPr>
          <w:sz w:val="24"/>
        </w:rPr>
        <w:t xml:space="preserve"> climate change adaptation. In their advocacy efforts at national level, IASC agencies should</w:t>
      </w:r>
      <w:r w:rsidR="006B74E8">
        <w:rPr>
          <w:sz w:val="24"/>
        </w:rPr>
        <w:t>:</w:t>
      </w:r>
    </w:p>
    <w:p w:rsidR="00B660AA" w:rsidRPr="004901B3" w:rsidRDefault="00265B37" w:rsidP="00650CDD">
      <w:pPr>
        <w:numPr>
          <w:ilvl w:val="0"/>
          <w:numId w:val="36"/>
        </w:numPr>
        <w:tabs>
          <w:tab w:val="clear" w:pos="567"/>
          <w:tab w:val="clear" w:pos="720"/>
          <w:tab w:val="clear" w:pos="992"/>
          <w:tab w:val="left" w:pos="709"/>
        </w:tabs>
        <w:spacing w:before="120"/>
        <w:rPr>
          <w:rStyle w:val="Emphasis"/>
          <w:b w:val="0"/>
          <w:color w:val="000000"/>
          <w:sz w:val="24"/>
        </w:rPr>
      </w:pPr>
      <w:r w:rsidRPr="004901B3">
        <w:rPr>
          <w:rStyle w:val="Emphasis"/>
          <w:b w:val="0"/>
          <w:color w:val="000000"/>
          <w:sz w:val="24"/>
        </w:rPr>
        <w:t xml:space="preserve">Provide </w:t>
      </w:r>
      <w:r w:rsidR="008923E4" w:rsidRPr="004901B3">
        <w:rPr>
          <w:rStyle w:val="Emphasis"/>
          <w:b w:val="0"/>
          <w:color w:val="000000"/>
          <w:sz w:val="24"/>
        </w:rPr>
        <w:t>input to</w:t>
      </w:r>
      <w:r w:rsidR="008923E4" w:rsidRPr="004901B3">
        <w:rPr>
          <w:rStyle w:val="Emphasis"/>
          <w:color w:val="000000"/>
        </w:rPr>
        <w:t xml:space="preserve"> </w:t>
      </w:r>
      <w:r w:rsidR="008923E4" w:rsidRPr="004901B3">
        <w:rPr>
          <w:rStyle w:val="Emphasis"/>
          <w:b w:val="0"/>
          <w:color w:val="000000"/>
          <w:sz w:val="24"/>
        </w:rPr>
        <w:t xml:space="preserve">government </w:t>
      </w:r>
      <w:r w:rsidR="00AC7F5A" w:rsidRPr="004901B3">
        <w:rPr>
          <w:rStyle w:val="Emphasis"/>
          <w:b w:val="0"/>
          <w:color w:val="000000"/>
          <w:sz w:val="24"/>
        </w:rPr>
        <w:t xml:space="preserve">planning </w:t>
      </w:r>
      <w:r w:rsidR="008923E4" w:rsidRPr="004901B3">
        <w:rPr>
          <w:rStyle w:val="Emphasis"/>
          <w:b w:val="0"/>
          <w:color w:val="000000"/>
          <w:sz w:val="24"/>
        </w:rPr>
        <w:t xml:space="preserve">and guidelines </w:t>
      </w:r>
      <w:r w:rsidR="00AC7F5A" w:rsidRPr="004901B3">
        <w:rPr>
          <w:rStyle w:val="Emphasis"/>
          <w:b w:val="0"/>
          <w:color w:val="000000"/>
          <w:sz w:val="24"/>
        </w:rPr>
        <w:t>on climate change adaptation</w:t>
      </w:r>
      <w:r>
        <w:rPr>
          <w:rStyle w:val="Emphasis"/>
          <w:b w:val="0"/>
          <w:color w:val="000000"/>
          <w:sz w:val="24"/>
        </w:rPr>
        <w:t>.</w:t>
      </w:r>
    </w:p>
    <w:p w:rsidR="008923E4" w:rsidRPr="004901B3" w:rsidRDefault="00265B37" w:rsidP="004901B3">
      <w:pPr>
        <w:numPr>
          <w:ilvl w:val="0"/>
          <w:numId w:val="36"/>
        </w:numPr>
        <w:tabs>
          <w:tab w:val="clear" w:pos="567"/>
          <w:tab w:val="clear" w:pos="720"/>
          <w:tab w:val="clear" w:pos="992"/>
          <w:tab w:val="left" w:pos="709"/>
        </w:tabs>
        <w:spacing w:before="120"/>
        <w:rPr>
          <w:rStyle w:val="Emphasis"/>
          <w:b w:val="0"/>
          <w:color w:val="000000"/>
          <w:sz w:val="24"/>
        </w:rPr>
      </w:pPr>
      <w:r w:rsidRPr="004901B3">
        <w:rPr>
          <w:rStyle w:val="Emphasis"/>
          <w:b w:val="0"/>
          <w:color w:val="000000"/>
          <w:sz w:val="24"/>
        </w:rPr>
        <w:t xml:space="preserve">Advocate </w:t>
      </w:r>
      <w:r w:rsidR="008923E4" w:rsidRPr="004901B3">
        <w:rPr>
          <w:rStyle w:val="Emphasis"/>
          <w:b w:val="0"/>
          <w:color w:val="000000"/>
          <w:sz w:val="24"/>
        </w:rPr>
        <w:t xml:space="preserve">for </w:t>
      </w:r>
      <w:r w:rsidR="00AC7F5A" w:rsidRPr="004901B3">
        <w:rPr>
          <w:rStyle w:val="Emphasis"/>
          <w:b w:val="0"/>
          <w:color w:val="000000"/>
          <w:sz w:val="24"/>
        </w:rPr>
        <w:t xml:space="preserve">the integration of the humanitarian impacts and </w:t>
      </w:r>
      <w:r w:rsidR="008923E4" w:rsidRPr="004901B3">
        <w:rPr>
          <w:rStyle w:val="Emphasis"/>
          <w:b w:val="0"/>
          <w:color w:val="000000"/>
          <w:sz w:val="24"/>
        </w:rPr>
        <w:t>disaster risk management</w:t>
      </w:r>
      <w:r w:rsidR="003D40E4" w:rsidRPr="004901B3">
        <w:rPr>
          <w:rStyle w:val="Emphasis"/>
          <w:b w:val="0"/>
          <w:color w:val="000000"/>
          <w:sz w:val="24"/>
        </w:rPr>
        <w:t>, with specific reference to the most vulnerable</w:t>
      </w:r>
      <w:r>
        <w:rPr>
          <w:rStyle w:val="Emphasis"/>
          <w:b w:val="0"/>
          <w:color w:val="000000"/>
          <w:sz w:val="24"/>
        </w:rPr>
        <w:t>.</w:t>
      </w:r>
    </w:p>
    <w:p w:rsidR="00C52E38" w:rsidRPr="004901B3" w:rsidRDefault="00265B37" w:rsidP="004901B3">
      <w:pPr>
        <w:numPr>
          <w:ilvl w:val="0"/>
          <w:numId w:val="36"/>
        </w:numPr>
        <w:tabs>
          <w:tab w:val="clear" w:pos="567"/>
          <w:tab w:val="clear" w:pos="720"/>
          <w:tab w:val="clear" w:pos="992"/>
          <w:tab w:val="left" w:pos="709"/>
        </w:tabs>
        <w:spacing w:before="120"/>
        <w:rPr>
          <w:rStyle w:val="Emphasis"/>
          <w:b w:val="0"/>
          <w:color w:val="000000"/>
          <w:sz w:val="24"/>
        </w:rPr>
      </w:pPr>
      <w:r w:rsidRPr="004901B3">
        <w:rPr>
          <w:rStyle w:val="Emphasis"/>
          <w:b w:val="0"/>
          <w:color w:val="000000"/>
          <w:sz w:val="24"/>
        </w:rPr>
        <w:t xml:space="preserve">Ensure </w:t>
      </w:r>
      <w:r w:rsidR="008923E4" w:rsidRPr="004901B3">
        <w:rPr>
          <w:rStyle w:val="Emphasis"/>
          <w:b w:val="0"/>
          <w:color w:val="000000"/>
          <w:sz w:val="24"/>
        </w:rPr>
        <w:t xml:space="preserve">that major government programmes </w:t>
      </w:r>
      <w:r w:rsidR="00B660AA" w:rsidRPr="004901B3">
        <w:rPr>
          <w:rStyle w:val="Emphasis"/>
          <w:b w:val="0"/>
          <w:color w:val="000000"/>
          <w:sz w:val="24"/>
        </w:rPr>
        <w:t>on disaster risk management and climate change adaptation</w:t>
      </w:r>
      <w:r w:rsidR="00AC0699" w:rsidRPr="004901B3">
        <w:rPr>
          <w:rStyle w:val="Emphasis"/>
          <w:b w:val="0"/>
          <w:color w:val="000000"/>
          <w:sz w:val="24"/>
        </w:rPr>
        <w:t xml:space="preserve"> </w:t>
      </w:r>
      <w:r w:rsidR="00B660AA" w:rsidRPr="004901B3">
        <w:rPr>
          <w:rStyle w:val="Emphasis"/>
          <w:b w:val="0"/>
          <w:color w:val="000000"/>
          <w:sz w:val="24"/>
        </w:rPr>
        <w:t xml:space="preserve">target </w:t>
      </w:r>
      <w:r w:rsidR="008923E4" w:rsidRPr="004901B3">
        <w:rPr>
          <w:rStyle w:val="Emphasis"/>
          <w:b w:val="0"/>
          <w:color w:val="000000"/>
          <w:sz w:val="24"/>
        </w:rPr>
        <w:t>local level</w:t>
      </w:r>
      <w:r w:rsidR="00B660AA" w:rsidRPr="004901B3">
        <w:rPr>
          <w:rStyle w:val="Emphasis"/>
          <w:b w:val="0"/>
          <w:color w:val="000000"/>
          <w:sz w:val="24"/>
        </w:rPr>
        <w:t>s and use existing tools</w:t>
      </w:r>
      <w:r>
        <w:rPr>
          <w:rStyle w:val="Emphasis"/>
          <w:b w:val="0"/>
          <w:color w:val="000000"/>
          <w:sz w:val="24"/>
        </w:rPr>
        <w:t>.</w:t>
      </w:r>
    </w:p>
    <w:p w:rsidR="00163275" w:rsidRPr="004901B3" w:rsidRDefault="00265B37" w:rsidP="00C742FC">
      <w:pPr>
        <w:numPr>
          <w:ilvl w:val="0"/>
          <w:numId w:val="36"/>
        </w:numPr>
        <w:tabs>
          <w:tab w:val="clear" w:pos="567"/>
          <w:tab w:val="clear" w:pos="720"/>
          <w:tab w:val="clear" w:pos="992"/>
          <w:tab w:val="left" w:pos="709"/>
        </w:tabs>
        <w:spacing w:before="120"/>
        <w:rPr>
          <w:rStyle w:val="Emphasis"/>
          <w:b w:val="0"/>
          <w:color w:val="000000"/>
          <w:sz w:val="24"/>
        </w:rPr>
      </w:pPr>
      <w:r w:rsidRPr="004901B3">
        <w:rPr>
          <w:rStyle w:val="Emphasis"/>
          <w:b w:val="0"/>
          <w:color w:val="000000"/>
          <w:sz w:val="24"/>
        </w:rPr>
        <w:t xml:space="preserve">Target </w:t>
      </w:r>
      <w:r w:rsidR="00163275" w:rsidRPr="004901B3">
        <w:rPr>
          <w:rStyle w:val="Emphasis"/>
          <w:b w:val="0"/>
          <w:color w:val="000000"/>
          <w:sz w:val="24"/>
        </w:rPr>
        <w:t xml:space="preserve">key government officials </w:t>
      </w:r>
      <w:r w:rsidR="00AC7F5A" w:rsidRPr="004901B3">
        <w:rPr>
          <w:rStyle w:val="Emphasis"/>
          <w:b w:val="0"/>
          <w:color w:val="000000"/>
          <w:sz w:val="24"/>
        </w:rPr>
        <w:t xml:space="preserve">in a </w:t>
      </w:r>
      <w:r w:rsidR="00163275" w:rsidRPr="004901B3">
        <w:rPr>
          <w:rStyle w:val="Emphasis"/>
          <w:b w:val="0"/>
          <w:color w:val="000000"/>
          <w:sz w:val="24"/>
        </w:rPr>
        <w:t xml:space="preserve">coordinated effort to present </w:t>
      </w:r>
      <w:r w:rsidR="00AC7F5A" w:rsidRPr="004901B3">
        <w:rPr>
          <w:rStyle w:val="Emphasis"/>
          <w:b w:val="0"/>
          <w:color w:val="000000"/>
          <w:sz w:val="24"/>
        </w:rPr>
        <w:t>existing best practices</w:t>
      </w:r>
      <w:r w:rsidR="00163275" w:rsidRPr="004901B3">
        <w:rPr>
          <w:rStyle w:val="Emphasis"/>
          <w:b w:val="0"/>
          <w:color w:val="000000"/>
          <w:sz w:val="24"/>
        </w:rPr>
        <w:t xml:space="preserve"> </w:t>
      </w:r>
      <w:r w:rsidR="00C742FC">
        <w:rPr>
          <w:rStyle w:val="Emphasis"/>
          <w:b w:val="0"/>
          <w:color w:val="000000"/>
          <w:sz w:val="24"/>
        </w:rPr>
        <w:t>on</w:t>
      </w:r>
      <w:r w:rsidR="00163275" w:rsidRPr="004901B3">
        <w:rPr>
          <w:rStyle w:val="Emphasis"/>
          <w:b w:val="0"/>
          <w:color w:val="000000"/>
          <w:sz w:val="24"/>
        </w:rPr>
        <w:t xml:space="preserve"> climate change adaptation initiatives</w:t>
      </w:r>
      <w:r>
        <w:rPr>
          <w:rStyle w:val="Emphasis"/>
          <w:b w:val="0"/>
          <w:color w:val="000000"/>
          <w:sz w:val="24"/>
        </w:rPr>
        <w:t>.</w:t>
      </w:r>
    </w:p>
    <w:p w:rsidR="004901B3" w:rsidRDefault="00265B37" w:rsidP="00C742FC">
      <w:pPr>
        <w:numPr>
          <w:ilvl w:val="0"/>
          <w:numId w:val="36"/>
        </w:numPr>
        <w:tabs>
          <w:tab w:val="clear" w:pos="567"/>
          <w:tab w:val="clear" w:pos="720"/>
          <w:tab w:val="clear" w:pos="992"/>
          <w:tab w:val="left" w:pos="709"/>
        </w:tabs>
        <w:spacing w:before="120"/>
        <w:rPr>
          <w:rStyle w:val="Emphasis"/>
          <w:b w:val="0"/>
          <w:color w:val="000000"/>
          <w:sz w:val="24"/>
        </w:rPr>
      </w:pPr>
      <w:r w:rsidRPr="004901B3">
        <w:rPr>
          <w:rStyle w:val="Emphasis"/>
          <w:b w:val="0"/>
          <w:color w:val="000000"/>
          <w:sz w:val="24"/>
        </w:rPr>
        <w:t xml:space="preserve">Highlight </w:t>
      </w:r>
      <w:r w:rsidR="003D40E4" w:rsidRPr="004901B3">
        <w:rPr>
          <w:rStyle w:val="Emphasis"/>
          <w:b w:val="0"/>
          <w:color w:val="000000"/>
          <w:sz w:val="24"/>
        </w:rPr>
        <w:t>the expertise and experience of IASC organisations</w:t>
      </w:r>
      <w:r w:rsidR="00881BD5" w:rsidRPr="004901B3">
        <w:rPr>
          <w:rStyle w:val="Emphasis"/>
          <w:b w:val="0"/>
          <w:color w:val="000000"/>
          <w:sz w:val="24"/>
        </w:rPr>
        <w:t xml:space="preserve"> in assisting communities and countries </w:t>
      </w:r>
      <w:r w:rsidR="00C742FC">
        <w:rPr>
          <w:rStyle w:val="Emphasis"/>
          <w:b w:val="0"/>
          <w:color w:val="000000"/>
          <w:sz w:val="24"/>
        </w:rPr>
        <w:t>to</w:t>
      </w:r>
      <w:r w:rsidR="00881BD5" w:rsidRPr="004901B3">
        <w:rPr>
          <w:rStyle w:val="Emphasis"/>
          <w:b w:val="0"/>
          <w:color w:val="000000"/>
          <w:sz w:val="24"/>
        </w:rPr>
        <w:t xml:space="preserve"> build resilience to climate change</w:t>
      </w:r>
      <w:r>
        <w:rPr>
          <w:rStyle w:val="Emphasis"/>
          <w:b w:val="0"/>
          <w:color w:val="000000"/>
          <w:sz w:val="24"/>
        </w:rPr>
        <w:t>.</w:t>
      </w:r>
    </w:p>
    <w:p w:rsidR="00E80EEE" w:rsidRPr="00E01A5A" w:rsidRDefault="00E80EEE" w:rsidP="00E80EEE">
      <w:pPr>
        <w:tabs>
          <w:tab w:val="clear" w:pos="567"/>
          <w:tab w:val="clear" w:pos="992"/>
          <w:tab w:val="left" w:pos="709"/>
        </w:tabs>
        <w:spacing w:before="120"/>
        <w:ind w:left="360"/>
        <w:rPr>
          <w:bCs/>
          <w:color w:val="000000"/>
          <w:sz w:val="24"/>
        </w:rPr>
      </w:pPr>
    </w:p>
    <w:p w:rsidR="00DD6E00" w:rsidRPr="00667191" w:rsidRDefault="00E80EEE" w:rsidP="00667191">
      <w:pPr>
        <w:spacing w:before="360" w:after="240"/>
        <w:rPr>
          <w:b/>
          <w:bCs/>
          <w:iCs/>
          <w:sz w:val="28"/>
          <w:szCs w:val="28"/>
          <w:lang w:val="en-US"/>
        </w:rPr>
      </w:pPr>
      <w:r>
        <w:rPr>
          <w:b/>
          <w:bCs/>
          <w:iCs/>
          <w:sz w:val="28"/>
          <w:szCs w:val="28"/>
          <w:lang w:val="en-US"/>
        </w:rPr>
        <w:br w:type="page"/>
      </w:r>
      <w:r w:rsidR="005B7742" w:rsidRPr="00667191">
        <w:rPr>
          <w:b/>
          <w:bCs/>
          <w:iCs/>
          <w:sz w:val="28"/>
          <w:szCs w:val="28"/>
          <w:lang w:val="en-US"/>
        </w:rPr>
        <w:lastRenderedPageBreak/>
        <w:t>IV</w:t>
      </w:r>
      <w:r w:rsidR="005B7742" w:rsidRPr="00667191">
        <w:rPr>
          <w:b/>
          <w:bCs/>
          <w:iCs/>
          <w:sz w:val="28"/>
          <w:szCs w:val="28"/>
          <w:lang w:val="en-US"/>
        </w:rPr>
        <w:tab/>
      </w:r>
      <w:r w:rsidR="00667191">
        <w:rPr>
          <w:b/>
          <w:bCs/>
          <w:iCs/>
          <w:sz w:val="28"/>
          <w:szCs w:val="28"/>
          <w:lang w:val="en-US"/>
        </w:rPr>
        <w:t>Links</w:t>
      </w:r>
      <w:r w:rsidR="00DD6E00" w:rsidRPr="00667191">
        <w:rPr>
          <w:b/>
          <w:bCs/>
          <w:iCs/>
          <w:sz w:val="28"/>
          <w:szCs w:val="28"/>
          <w:lang w:val="en-US"/>
        </w:rPr>
        <w:t xml:space="preserve"> to potential new climate change adaptation funding</w:t>
      </w:r>
    </w:p>
    <w:p w:rsidR="00D47568" w:rsidRDefault="00385B92" w:rsidP="00C742FC">
      <w:pPr>
        <w:spacing w:before="120"/>
        <w:rPr>
          <w:sz w:val="24"/>
        </w:rPr>
      </w:pPr>
      <w:r w:rsidRPr="00B660AA">
        <w:rPr>
          <w:sz w:val="24"/>
        </w:rPr>
        <w:t>Climate change ada</w:t>
      </w:r>
      <w:r w:rsidRPr="00385B92">
        <w:rPr>
          <w:sz w:val="24"/>
        </w:rPr>
        <w:t xml:space="preserve">ptation funding sources have </w:t>
      </w:r>
      <w:r w:rsidR="00AC7F5A">
        <w:rPr>
          <w:sz w:val="24"/>
        </w:rPr>
        <w:t xml:space="preserve">the </w:t>
      </w:r>
      <w:r w:rsidRPr="00385B92">
        <w:rPr>
          <w:sz w:val="24"/>
        </w:rPr>
        <w:t>potential to help overcome traditional gaps in financing preparedness and disaster risk reduction activities by providing a larger, non-traditional, non-humanitarian f</w:t>
      </w:r>
      <w:r>
        <w:rPr>
          <w:sz w:val="24"/>
        </w:rPr>
        <w:t>unding window.</w:t>
      </w:r>
      <w:r w:rsidR="000165E7">
        <w:rPr>
          <w:sz w:val="24"/>
        </w:rPr>
        <w:t xml:space="preserve"> Fast</w:t>
      </w:r>
      <w:r w:rsidR="00C742FC">
        <w:rPr>
          <w:sz w:val="24"/>
        </w:rPr>
        <w:t>-</w:t>
      </w:r>
      <w:r w:rsidR="000165E7">
        <w:rPr>
          <w:sz w:val="24"/>
        </w:rPr>
        <w:t xml:space="preserve">track funding </w:t>
      </w:r>
      <w:r w:rsidR="000165E7" w:rsidRPr="00B363A6">
        <w:rPr>
          <w:sz w:val="24"/>
        </w:rPr>
        <w:t xml:space="preserve">has </w:t>
      </w:r>
      <w:r w:rsidR="00B363A6" w:rsidRPr="00B363A6">
        <w:rPr>
          <w:sz w:val="24"/>
        </w:rPr>
        <w:t xml:space="preserve">already </w:t>
      </w:r>
      <w:r w:rsidR="000165E7" w:rsidRPr="00B363A6">
        <w:rPr>
          <w:sz w:val="24"/>
        </w:rPr>
        <w:t>started flowing</w:t>
      </w:r>
      <w:r w:rsidR="00B363A6" w:rsidRPr="00B363A6">
        <w:rPr>
          <w:sz w:val="24"/>
        </w:rPr>
        <w:t xml:space="preserve"> and is </w:t>
      </w:r>
      <w:r w:rsidR="000165E7" w:rsidRPr="00B363A6">
        <w:rPr>
          <w:sz w:val="24"/>
        </w:rPr>
        <w:t>most</w:t>
      </w:r>
      <w:r w:rsidR="00B363A6" w:rsidRPr="00B363A6">
        <w:rPr>
          <w:sz w:val="24"/>
        </w:rPr>
        <w:t>ly</w:t>
      </w:r>
      <w:r w:rsidR="000165E7" w:rsidRPr="00B363A6">
        <w:rPr>
          <w:sz w:val="24"/>
        </w:rPr>
        <w:t xml:space="preserve"> being channelled through bilateral aid and mechanisms like the UNFCCC Adaptation Fund and the World Bank’s Pilot Program for Climate Resilience (PPCR). </w:t>
      </w:r>
    </w:p>
    <w:p w:rsidR="00385B92" w:rsidRDefault="00D47568" w:rsidP="00C742FC">
      <w:pPr>
        <w:spacing w:before="120"/>
        <w:rPr>
          <w:sz w:val="24"/>
        </w:rPr>
      </w:pPr>
      <w:r>
        <w:rPr>
          <w:sz w:val="24"/>
        </w:rPr>
        <w:t xml:space="preserve">The climate financing landscape is only emerging and </w:t>
      </w:r>
      <w:r w:rsidR="00C742FC">
        <w:rPr>
          <w:sz w:val="24"/>
        </w:rPr>
        <w:t xml:space="preserve">is </w:t>
      </w:r>
      <w:r>
        <w:rPr>
          <w:sz w:val="24"/>
        </w:rPr>
        <w:t xml:space="preserve">evolving quickly. </w:t>
      </w:r>
      <w:r w:rsidR="00581C26">
        <w:rPr>
          <w:sz w:val="24"/>
        </w:rPr>
        <w:t xml:space="preserve">It will be important for </w:t>
      </w:r>
      <w:r w:rsidR="000165E7" w:rsidRPr="00B363A6">
        <w:rPr>
          <w:sz w:val="24"/>
        </w:rPr>
        <w:t xml:space="preserve">IASC agencies </w:t>
      </w:r>
      <w:r w:rsidR="00581C26">
        <w:rPr>
          <w:sz w:val="24"/>
        </w:rPr>
        <w:t>to monitor developments on a global and</w:t>
      </w:r>
      <w:r w:rsidR="00C742FC">
        <w:rPr>
          <w:sz w:val="24"/>
        </w:rPr>
        <w:t>,</w:t>
      </w:r>
      <w:r w:rsidR="00581C26">
        <w:rPr>
          <w:sz w:val="24"/>
        </w:rPr>
        <w:t xml:space="preserve"> more importantly</w:t>
      </w:r>
      <w:r w:rsidR="00C742FC">
        <w:rPr>
          <w:sz w:val="24"/>
        </w:rPr>
        <w:t>,</w:t>
      </w:r>
      <w:r w:rsidR="00581C26">
        <w:rPr>
          <w:sz w:val="24"/>
        </w:rPr>
        <w:t xml:space="preserve"> </w:t>
      </w:r>
      <w:r w:rsidR="00C742FC">
        <w:rPr>
          <w:sz w:val="24"/>
        </w:rPr>
        <w:t>at</w:t>
      </w:r>
      <w:r w:rsidR="00581C26">
        <w:rPr>
          <w:sz w:val="24"/>
        </w:rPr>
        <w:t xml:space="preserve"> country level. A</w:t>
      </w:r>
      <w:r>
        <w:rPr>
          <w:sz w:val="24"/>
        </w:rPr>
        <w:t>t</w:t>
      </w:r>
      <w:r w:rsidR="00581C26">
        <w:rPr>
          <w:sz w:val="24"/>
        </w:rPr>
        <w:t xml:space="preserve"> the same time, agencies </w:t>
      </w:r>
      <w:r w:rsidR="00B363A6" w:rsidRPr="00B363A6">
        <w:rPr>
          <w:sz w:val="24"/>
        </w:rPr>
        <w:t>should continue to</w:t>
      </w:r>
      <w:r w:rsidR="000165E7" w:rsidRPr="00B363A6">
        <w:rPr>
          <w:sz w:val="24"/>
        </w:rPr>
        <w:t xml:space="preserve"> showcase humanitarian action relevant to climate change adaptation.</w:t>
      </w:r>
    </w:p>
    <w:p w:rsidR="00E01A5A" w:rsidRDefault="007F12E7" w:rsidP="00C742FC">
      <w:pPr>
        <w:spacing w:before="120"/>
        <w:rPr>
          <w:sz w:val="24"/>
        </w:rPr>
      </w:pPr>
      <w:r w:rsidRPr="00667191">
        <w:rPr>
          <w:sz w:val="24"/>
        </w:rPr>
        <w:t>T</w:t>
      </w:r>
      <w:r w:rsidR="00385B92" w:rsidRPr="00667191">
        <w:rPr>
          <w:sz w:val="24"/>
        </w:rPr>
        <w:t xml:space="preserve">he IASC Task Force on Climate Change </w:t>
      </w:r>
      <w:r w:rsidR="00CC38C8" w:rsidRPr="00667191">
        <w:rPr>
          <w:sz w:val="24"/>
        </w:rPr>
        <w:t>facilitate</w:t>
      </w:r>
      <w:r w:rsidR="00D47568">
        <w:rPr>
          <w:sz w:val="24"/>
        </w:rPr>
        <w:t>s the</w:t>
      </w:r>
      <w:r w:rsidR="00CC38C8" w:rsidRPr="00667191">
        <w:rPr>
          <w:sz w:val="24"/>
        </w:rPr>
        <w:t xml:space="preserve"> sharing of </w:t>
      </w:r>
      <w:r w:rsidR="00385B92" w:rsidRPr="00667191">
        <w:rPr>
          <w:sz w:val="24"/>
        </w:rPr>
        <w:t>guidance on how to access these new funding sources</w:t>
      </w:r>
      <w:r w:rsidR="00EB4B1A" w:rsidRPr="00667191">
        <w:rPr>
          <w:sz w:val="24"/>
        </w:rPr>
        <w:t xml:space="preserve">, and </w:t>
      </w:r>
      <w:r w:rsidR="00EB4B1A" w:rsidRPr="00D47568">
        <w:rPr>
          <w:sz w:val="24"/>
        </w:rPr>
        <w:t>advocate</w:t>
      </w:r>
      <w:r w:rsidR="00D47568" w:rsidRPr="00D47568">
        <w:rPr>
          <w:sz w:val="24"/>
        </w:rPr>
        <w:t>s</w:t>
      </w:r>
      <w:r w:rsidR="00EB4B1A" w:rsidRPr="00667191">
        <w:rPr>
          <w:sz w:val="24"/>
        </w:rPr>
        <w:t xml:space="preserve"> for the importance of including disaster risk reduction and preparedness activities within broader climate change adaptation proposals</w:t>
      </w:r>
      <w:r w:rsidR="00385B92" w:rsidRPr="00667191">
        <w:rPr>
          <w:sz w:val="24"/>
        </w:rPr>
        <w:t>.</w:t>
      </w:r>
      <w:r w:rsidR="00D47568" w:rsidRPr="00D47568">
        <w:rPr>
          <w:sz w:val="24"/>
        </w:rPr>
        <w:t xml:space="preserve"> Advice on accessing funds can be provided by the climate change focal point of individual organizations, and, </w:t>
      </w:r>
      <w:r w:rsidR="00C742FC">
        <w:rPr>
          <w:sz w:val="24"/>
        </w:rPr>
        <w:t>in</w:t>
      </w:r>
      <w:r w:rsidR="00D47568" w:rsidRPr="00D47568">
        <w:rPr>
          <w:sz w:val="24"/>
        </w:rPr>
        <w:t xml:space="preserve"> the immediate term, by members of the</w:t>
      </w:r>
      <w:r w:rsidR="00E01A5A">
        <w:rPr>
          <w:sz w:val="24"/>
        </w:rPr>
        <w:t xml:space="preserve"> IASC Climate Change Task Force. </w:t>
      </w:r>
    </w:p>
    <w:p w:rsidR="00D47568" w:rsidRDefault="00CD3D44" w:rsidP="00E01A5A">
      <w:pPr>
        <w:spacing w:before="120"/>
        <w:rPr>
          <w:sz w:val="24"/>
        </w:rPr>
      </w:pPr>
      <w:r>
        <w:rPr>
          <w:sz w:val="24"/>
        </w:rPr>
        <w:t>Furthermore, several institutions and specialised websites are tracking the emerging funding</w:t>
      </w:r>
      <w:r w:rsidR="00E01A5A">
        <w:rPr>
          <w:sz w:val="24"/>
        </w:rPr>
        <w:t xml:space="preserve">. </w:t>
      </w:r>
      <w:r w:rsidR="00D47568" w:rsidRPr="00581C26">
        <w:rPr>
          <w:sz w:val="24"/>
        </w:rPr>
        <w:t>Information on major multi-lateral funding sources that can be used for preparedness</w:t>
      </w:r>
      <w:r w:rsidR="00D47568">
        <w:rPr>
          <w:sz w:val="24"/>
        </w:rPr>
        <w:t xml:space="preserve"> can be found here</w:t>
      </w:r>
      <w:r w:rsidR="00D47568" w:rsidRPr="00581C26">
        <w:rPr>
          <w:sz w:val="24"/>
        </w:rPr>
        <w:t>:</w:t>
      </w:r>
    </w:p>
    <w:p w:rsidR="00581C26" w:rsidRPr="00581C26" w:rsidRDefault="00581C26" w:rsidP="00D47568">
      <w:pPr>
        <w:numPr>
          <w:ilvl w:val="0"/>
          <w:numId w:val="38"/>
        </w:numPr>
        <w:tabs>
          <w:tab w:val="clear" w:pos="567"/>
          <w:tab w:val="clear" w:pos="992"/>
          <w:tab w:val="left" w:pos="0"/>
        </w:tabs>
        <w:spacing w:before="120"/>
        <w:rPr>
          <w:sz w:val="24"/>
        </w:rPr>
      </w:pPr>
      <w:r w:rsidRPr="00581C26">
        <w:rPr>
          <w:sz w:val="24"/>
        </w:rPr>
        <w:t>http://www.preventionweb.net/</w:t>
      </w:r>
      <w:r>
        <w:rPr>
          <w:sz w:val="24"/>
        </w:rPr>
        <w:t>english/email/url.php?eid=14454</w:t>
      </w:r>
      <w:r w:rsidRPr="00581C26">
        <w:rPr>
          <w:sz w:val="24"/>
        </w:rPr>
        <w:t>. This also contains messages that can help access funding.</w:t>
      </w:r>
    </w:p>
    <w:p w:rsidR="00581C26" w:rsidRPr="00581C26" w:rsidRDefault="00581C26" w:rsidP="00581C26">
      <w:pPr>
        <w:tabs>
          <w:tab w:val="clear" w:pos="567"/>
          <w:tab w:val="clear" w:pos="992"/>
          <w:tab w:val="left" w:pos="0"/>
        </w:tabs>
        <w:spacing w:before="120"/>
        <w:rPr>
          <w:sz w:val="24"/>
        </w:rPr>
      </w:pPr>
      <w:r w:rsidRPr="00581C26">
        <w:rPr>
          <w:sz w:val="24"/>
        </w:rPr>
        <w:t>Other sites that track emerging sources of funding include:</w:t>
      </w:r>
    </w:p>
    <w:p w:rsidR="00581C26" w:rsidRPr="00581C26" w:rsidRDefault="00581C26" w:rsidP="00D47568">
      <w:pPr>
        <w:numPr>
          <w:ilvl w:val="0"/>
          <w:numId w:val="38"/>
        </w:numPr>
        <w:tabs>
          <w:tab w:val="clear" w:pos="567"/>
          <w:tab w:val="clear" w:pos="992"/>
          <w:tab w:val="left" w:pos="0"/>
        </w:tabs>
        <w:spacing w:before="120"/>
        <w:rPr>
          <w:sz w:val="24"/>
        </w:rPr>
      </w:pPr>
      <w:r w:rsidRPr="00581C26">
        <w:rPr>
          <w:sz w:val="24"/>
        </w:rPr>
        <w:t>http://www.climatefundsupdate.org</w:t>
      </w:r>
    </w:p>
    <w:p w:rsidR="00581C26" w:rsidRPr="00581C26" w:rsidRDefault="00581C26" w:rsidP="00D47568">
      <w:pPr>
        <w:numPr>
          <w:ilvl w:val="0"/>
          <w:numId w:val="38"/>
        </w:numPr>
        <w:tabs>
          <w:tab w:val="clear" w:pos="567"/>
          <w:tab w:val="clear" w:pos="992"/>
          <w:tab w:val="left" w:pos="0"/>
        </w:tabs>
        <w:spacing w:before="120"/>
        <w:rPr>
          <w:sz w:val="24"/>
        </w:rPr>
      </w:pPr>
      <w:r w:rsidRPr="00581C26">
        <w:rPr>
          <w:sz w:val="24"/>
        </w:rPr>
        <w:t>http://www.climatefinanceoptions.org/cfo/</w:t>
      </w:r>
    </w:p>
    <w:p w:rsidR="00581C26" w:rsidRPr="00581C26" w:rsidRDefault="00581C26" w:rsidP="00D47568">
      <w:pPr>
        <w:numPr>
          <w:ilvl w:val="0"/>
          <w:numId w:val="38"/>
        </w:numPr>
        <w:tabs>
          <w:tab w:val="clear" w:pos="567"/>
          <w:tab w:val="clear" w:pos="992"/>
          <w:tab w:val="left" w:pos="0"/>
        </w:tabs>
        <w:spacing w:before="120"/>
        <w:rPr>
          <w:sz w:val="24"/>
        </w:rPr>
      </w:pPr>
      <w:r w:rsidRPr="00581C26">
        <w:rPr>
          <w:sz w:val="24"/>
        </w:rPr>
        <w:t>http://www.project-catalyst.info/index.php?option=com_content&amp;view=article&amp;id=92&amp;Itemid=74</w:t>
      </w:r>
    </w:p>
    <w:p w:rsidR="00D47568" w:rsidRDefault="00581C26" w:rsidP="00C742FC">
      <w:pPr>
        <w:tabs>
          <w:tab w:val="clear" w:pos="567"/>
          <w:tab w:val="clear" w:pos="992"/>
          <w:tab w:val="left" w:pos="0"/>
        </w:tabs>
        <w:spacing w:before="120"/>
        <w:rPr>
          <w:sz w:val="24"/>
        </w:rPr>
      </w:pPr>
      <w:r w:rsidRPr="00581C26">
        <w:rPr>
          <w:sz w:val="24"/>
        </w:rPr>
        <w:t>The World Resources Institute monitors funding pledges at</w:t>
      </w:r>
      <w:r w:rsidR="00C742FC">
        <w:rPr>
          <w:sz w:val="24"/>
        </w:rPr>
        <w:t>:</w:t>
      </w:r>
    </w:p>
    <w:p w:rsidR="00D47568" w:rsidRPr="00D47568" w:rsidRDefault="00581C26" w:rsidP="00D47568">
      <w:pPr>
        <w:numPr>
          <w:ilvl w:val="0"/>
          <w:numId w:val="39"/>
        </w:numPr>
        <w:tabs>
          <w:tab w:val="clear" w:pos="567"/>
          <w:tab w:val="clear" w:pos="992"/>
          <w:tab w:val="left" w:pos="0"/>
        </w:tabs>
        <w:spacing w:before="120"/>
        <w:rPr>
          <w:sz w:val="24"/>
        </w:rPr>
      </w:pPr>
      <w:r w:rsidRPr="00581C26">
        <w:rPr>
          <w:sz w:val="24"/>
        </w:rPr>
        <w:t>http://pdf.wri.org/climate_finance_pledges_2010-06-05.pdf</w:t>
      </w:r>
    </w:p>
    <w:p w:rsidR="00B744DA" w:rsidRPr="00581C26" w:rsidRDefault="001428E1" w:rsidP="00E80EEE">
      <w:pPr>
        <w:spacing w:before="360" w:after="240"/>
        <w:rPr>
          <w:b/>
          <w:bCs/>
          <w:iCs/>
          <w:sz w:val="28"/>
          <w:szCs w:val="28"/>
          <w:lang w:val="en-US"/>
        </w:rPr>
      </w:pPr>
      <w:r w:rsidRPr="00581C26">
        <w:rPr>
          <w:b/>
          <w:sz w:val="28"/>
          <w:szCs w:val="28"/>
        </w:rPr>
        <w:br w:type="page"/>
      </w:r>
      <w:r w:rsidR="00EE3B86" w:rsidRPr="00581C26">
        <w:rPr>
          <w:b/>
          <w:bCs/>
          <w:iCs/>
          <w:sz w:val="28"/>
          <w:szCs w:val="28"/>
          <w:lang w:val="en-US"/>
        </w:rPr>
        <w:lastRenderedPageBreak/>
        <w:t>V</w:t>
      </w:r>
      <w:r w:rsidR="00EE3B86" w:rsidRPr="00581C26">
        <w:rPr>
          <w:b/>
          <w:bCs/>
          <w:iCs/>
          <w:sz w:val="28"/>
          <w:szCs w:val="28"/>
          <w:lang w:val="en-US"/>
        </w:rPr>
        <w:tab/>
        <w:t xml:space="preserve">IASC </w:t>
      </w:r>
      <w:r w:rsidR="00B744DA" w:rsidRPr="00581C26">
        <w:rPr>
          <w:b/>
          <w:bCs/>
          <w:iCs/>
          <w:sz w:val="28"/>
          <w:szCs w:val="28"/>
          <w:lang w:val="en-US"/>
        </w:rPr>
        <w:t>Advocacy messages</w:t>
      </w:r>
    </w:p>
    <w:p w:rsidR="00A32117" w:rsidRDefault="00A32117" w:rsidP="00265B37">
      <w:pPr>
        <w:tabs>
          <w:tab w:val="clear" w:pos="567"/>
          <w:tab w:val="clear" w:pos="992"/>
        </w:tabs>
        <w:autoSpaceDE w:val="0"/>
        <w:autoSpaceDN w:val="0"/>
        <w:adjustRightInd w:val="0"/>
        <w:spacing w:before="0" w:after="120" w:line="240" w:lineRule="auto"/>
        <w:rPr>
          <w:sz w:val="24"/>
          <w:lang w:eastAsia="en-GB"/>
        </w:rPr>
      </w:pPr>
      <w:r>
        <w:rPr>
          <w:sz w:val="24"/>
          <w:lang w:eastAsia="en-GB"/>
        </w:rPr>
        <w:t xml:space="preserve">IASC </w:t>
      </w:r>
      <w:r w:rsidR="00E01A5A">
        <w:rPr>
          <w:sz w:val="24"/>
          <w:lang w:eastAsia="en-GB"/>
        </w:rPr>
        <w:t xml:space="preserve">agencies </w:t>
      </w:r>
      <w:r>
        <w:rPr>
          <w:sz w:val="24"/>
          <w:lang w:eastAsia="en-GB"/>
        </w:rPr>
        <w:t xml:space="preserve">will build on </w:t>
      </w:r>
      <w:r w:rsidR="00305870">
        <w:rPr>
          <w:sz w:val="24"/>
          <w:lang w:eastAsia="en-GB"/>
        </w:rPr>
        <w:t xml:space="preserve">the shared </w:t>
      </w:r>
      <w:r>
        <w:rPr>
          <w:sz w:val="24"/>
          <w:lang w:eastAsia="en-GB"/>
        </w:rPr>
        <w:t>advocacy messages</w:t>
      </w:r>
      <w:r w:rsidR="00305870" w:rsidRPr="00C0589E">
        <w:t xml:space="preserve"> </w:t>
      </w:r>
      <w:r w:rsidR="00305870" w:rsidRPr="00265B37">
        <w:rPr>
          <w:sz w:val="24"/>
          <w:lang w:eastAsia="en-GB"/>
        </w:rPr>
        <w:t>identified</w:t>
      </w:r>
      <w:r w:rsidR="00305870">
        <w:t>:</w:t>
      </w:r>
    </w:p>
    <w:p w:rsidR="00833213" w:rsidRPr="00833213" w:rsidRDefault="00833213" w:rsidP="00833213">
      <w:pPr>
        <w:spacing w:before="120"/>
        <w:rPr>
          <w:b/>
          <w:sz w:val="24"/>
        </w:rPr>
      </w:pPr>
      <w:r w:rsidRPr="00833213">
        <w:rPr>
          <w:b/>
          <w:sz w:val="24"/>
        </w:rPr>
        <w:t>Climate change is a humanitarian challenge</w:t>
      </w:r>
    </w:p>
    <w:p w:rsidR="00833213" w:rsidRPr="00833213" w:rsidRDefault="00833213" w:rsidP="00833213">
      <w:pPr>
        <w:pStyle w:val="ListParagraph"/>
        <w:numPr>
          <w:ilvl w:val="0"/>
          <w:numId w:val="30"/>
        </w:numPr>
        <w:spacing w:before="120" w:after="0" w:line="240" w:lineRule="auto"/>
        <w:rPr>
          <w:rFonts w:ascii="Times New Roman" w:hAnsi="Times New Roman"/>
          <w:sz w:val="24"/>
          <w:szCs w:val="24"/>
          <w:lang w:val="en-GB"/>
        </w:rPr>
      </w:pPr>
      <w:r w:rsidRPr="00833213">
        <w:rPr>
          <w:rFonts w:ascii="Times New Roman" w:hAnsi="Times New Roman"/>
          <w:sz w:val="24"/>
          <w:szCs w:val="24"/>
          <w:lang w:val="en-GB"/>
        </w:rPr>
        <w:t>Climate change and its consequences are and will continue to be an increasing burden on humanitarian systems.</w:t>
      </w:r>
    </w:p>
    <w:p w:rsidR="00833213" w:rsidRPr="00833213" w:rsidRDefault="00833213" w:rsidP="00833213">
      <w:pPr>
        <w:numPr>
          <w:ilvl w:val="0"/>
          <w:numId w:val="30"/>
        </w:numPr>
        <w:tabs>
          <w:tab w:val="clear" w:pos="567"/>
          <w:tab w:val="clear" w:pos="992"/>
        </w:tabs>
        <w:autoSpaceDE w:val="0"/>
        <w:autoSpaceDN w:val="0"/>
        <w:adjustRightInd w:val="0"/>
        <w:spacing w:before="120" w:line="240" w:lineRule="auto"/>
        <w:rPr>
          <w:sz w:val="24"/>
        </w:rPr>
      </w:pPr>
      <w:r w:rsidRPr="00833213">
        <w:rPr>
          <w:sz w:val="24"/>
        </w:rPr>
        <w:t>This additional burden necessitates innovative and multisectoral approaches including strengthening capacities of urban and rural communities, countries and international organizations, as well as a greater reliance of countries on regional and national response mechanisms and mutual assistance.</w:t>
      </w:r>
    </w:p>
    <w:p w:rsidR="00833213" w:rsidRPr="00833213" w:rsidRDefault="00833213" w:rsidP="00833213">
      <w:pPr>
        <w:numPr>
          <w:ilvl w:val="0"/>
          <w:numId w:val="30"/>
        </w:numPr>
        <w:tabs>
          <w:tab w:val="clear" w:pos="567"/>
          <w:tab w:val="clear" w:pos="992"/>
        </w:tabs>
        <w:autoSpaceDE w:val="0"/>
        <w:autoSpaceDN w:val="0"/>
        <w:adjustRightInd w:val="0"/>
        <w:spacing w:before="120" w:line="240" w:lineRule="auto"/>
        <w:rPr>
          <w:sz w:val="24"/>
        </w:rPr>
      </w:pPr>
      <w:r w:rsidRPr="00833213">
        <w:rPr>
          <w:sz w:val="24"/>
        </w:rPr>
        <w:t>Climate change affects primarily the most vulnerable, who have done the least to cause the problem and have little or no means to cope.</w:t>
      </w:r>
    </w:p>
    <w:p w:rsidR="00833213" w:rsidRPr="00833213" w:rsidRDefault="00833213" w:rsidP="00833213">
      <w:pPr>
        <w:numPr>
          <w:ilvl w:val="0"/>
          <w:numId w:val="30"/>
        </w:numPr>
        <w:tabs>
          <w:tab w:val="clear" w:pos="567"/>
          <w:tab w:val="clear" w:pos="992"/>
        </w:tabs>
        <w:autoSpaceDE w:val="0"/>
        <w:autoSpaceDN w:val="0"/>
        <w:adjustRightInd w:val="0"/>
        <w:spacing w:before="120" w:line="240" w:lineRule="auto"/>
        <w:rPr>
          <w:sz w:val="24"/>
        </w:rPr>
      </w:pPr>
      <w:r w:rsidRPr="00833213">
        <w:rPr>
          <w:sz w:val="24"/>
          <w:lang w:eastAsia="en-GB"/>
        </w:rPr>
        <w:t>A proactive instead of reactive approach is essential, meaning investing in preparedness and disaster risk reduction to reduce vulnerabilities and build long-term resilience and adaptive capacity.</w:t>
      </w:r>
    </w:p>
    <w:p w:rsidR="00833213" w:rsidRPr="00833213" w:rsidRDefault="00833213" w:rsidP="00833213">
      <w:pPr>
        <w:numPr>
          <w:ilvl w:val="0"/>
          <w:numId w:val="30"/>
        </w:numPr>
        <w:tabs>
          <w:tab w:val="clear" w:pos="567"/>
          <w:tab w:val="clear" w:pos="992"/>
        </w:tabs>
        <w:autoSpaceDE w:val="0"/>
        <w:autoSpaceDN w:val="0"/>
        <w:adjustRightInd w:val="0"/>
        <w:spacing w:before="120" w:line="240" w:lineRule="auto"/>
        <w:rPr>
          <w:sz w:val="24"/>
        </w:rPr>
      </w:pPr>
      <w:r w:rsidRPr="00833213">
        <w:rPr>
          <w:sz w:val="24"/>
        </w:rPr>
        <w:t>Climate change can be a factor driving food insecurity, risks to health, erosion of livelihoods, migration and displacement in certain contexts.</w:t>
      </w:r>
    </w:p>
    <w:p w:rsidR="00833213" w:rsidRPr="00833213" w:rsidRDefault="00833213" w:rsidP="00833213">
      <w:pPr>
        <w:numPr>
          <w:ilvl w:val="0"/>
          <w:numId w:val="30"/>
        </w:numPr>
        <w:tabs>
          <w:tab w:val="clear" w:pos="567"/>
          <w:tab w:val="clear" w:pos="992"/>
        </w:tabs>
        <w:autoSpaceDE w:val="0"/>
        <w:autoSpaceDN w:val="0"/>
        <w:adjustRightInd w:val="0"/>
        <w:spacing w:before="120" w:line="240" w:lineRule="auto"/>
        <w:rPr>
          <w:sz w:val="24"/>
        </w:rPr>
      </w:pPr>
      <w:r w:rsidRPr="00833213">
        <w:rPr>
          <w:sz w:val="24"/>
        </w:rPr>
        <w:t xml:space="preserve">There is a need for better understanding of the link between climate change and conflict. </w:t>
      </w:r>
    </w:p>
    <w:p w:rsidR="00833213" w:rsidRPr="00833213" w:rsidRDefault="00833213" w:rsidP="00833213">
      <w:pPr>
        <w:spacing w:before="120"/>
        <w:rPr>
          <w:b/>
          <w:sz w:val="24"/>
        </w:rPr>
      </w:pPr>
      <w:r w:rsidRPr="00833213">
        <w:rPr>
          <w:b/>
          <w:sz w:val="24"/>
        </w:rPr>
        <w:t>Humanitarian action can build resilience to climate change</w:t>
      </w:r>
    </w:p>
    <w:p w:rsidR="00833213" w:rsidRPr="00833213" w:rsidRDefault="00833213" w:rsidP="00833213">
      <w:pPr>
        <w:pStyle w:val="ListParagraph"/>
        <w:numPr>
          <w:ilvl w:val="0"/>
          <w:numId w:val="30"/>
        </w:numPr>
        <w:spacing w:before="120" w:after="0" w:line="240" w:lineRule="auto"/>
        <w:rPr>
          <w:rFonts w:ascii="Times New Roman" w:eastAsia="Times New Roman" w:hAnsi="Times New Roman"/>
          <w:sz w:val="24"/>
          <w:szCs w:val="24"/>
          <w:lang w:val="en-GB" w:eastAsia="en-GB"/>
        </w:rPr>
      </w:pPr>
      <w:r w:rsidRPr="00833213">
        <w:rPr>
          <w:rFonts w:ascii="Times New Roman" w:eastAsia="Times New Roman" w:hAnsi="Times New Roman"/>
          <w:sz w:val="24"/>
          <w:szCs w:val="24"/>
          <w:lang w:val="en-GB" w:eastAsia="en-GB"/>
        </w:rPr>
        <w:t>Multisectoral disaster risk reduction strategies, risk management mechanisms and safety nets are the first line of defence against the impacts of climate change, with short- and long-term interventions needing synchronization.</w:t>
      </w:r>
    </w:p>
    <w:p w:rsidR="00833213" w:rsidRPr="00833213" w:rsidRDefault="00833213" w:rsidP="00833213">
      <w:pPr>
        <w:pStyle w:val="ListParagraph"/>
        <w:numPr>
          <w:ilvl w:val="0"/>
          <w:numId w:val="30"/>
        </w:numPr>
        <w:spacing w:before="120" w:after="0" w:line="240" w:lineRule="auto"/>
        <w:rPr>
          <w:rFonts w:ascii="Times New Roman" w:eastAsia="Times New Roman" w:hAnsi="Times New Roman"/>
          <w:sz w:val="24"/>
          <w:szCs w:val="24"/>
          <w:lang w:val="en-GB" w:eastAsia="en-GB"/>
        </w:rPr>
      </w:pPr>
      <w:r w:rsidRPr="00833213">
        <w:rPr>
          <w:rFonts w:ascii="Times New Roman" w:eastAsia="Times New Roman" w:hAnsi="Times New Roman"/>
          <w:sz w:val="24"/>
          <w:szCs w:val="24"/>
          <w:lang w:val="en-GB" w:eastAsia="en-GB"/>
        </w:rPr>
        <w:t>Climate change can have negative impacts on humanitarian and development outcomes.  Subsequently effective climate change adaptation and disaster risk reduction can help protect development gains, and therefore contribute to the achievement of the MDGs</w:t>
      </w:r>
    </w:p>
    <w:p w:rsidR="00833213" w:rsidRPr="00833213" w:rsidRDefault="00833213" w:rsidP="00833213">
      <w:pPr>
        <w:pStyle w:val="ListParagraph"/>
        <w:numPr>
          <w:ilvl w:val="0"/>
          <w:numId w:val="30"/>
        </w:numPr>
        <w:spacing w:before="120" w:after="0" w:line="240" w:lineRule="auto"/>
        <w:rPr>
          <w:rFonts w:ascii="Times New Roman" w:eastAsia="Times New Roman" w:hAnsi="Times New Roman"/>
          <w:sz w:val="24"/>
          <w:szCs w:val="24"/>
          <w:lang w:val="en-GB" w:eastAsia="en-GB"/>
        </w:rPr>
      </w:pPr>
      <w:r w:rsidRPr="00833213">
        <w:rPr>
          <w:rFonts w:ascii="Times New Roman" w:eastAsia="Times New Roman" w:hAnsi="Times New Roman"/>
          <w:sz w:val="24"/>
          <w:szCs w:val="24"/>
          <w:lang w:val="en-GB" w:eastAsia="en-GB"/>
        </w:rPr>
        <w:t xml:space="preserve">IASC agencies have the expertise, implementation capacity and partnerships for managing disaster risks and building resilience to support climate change adaptation. </w:t>
      </w:r>
    </w:p>
    <w:p w:rsidR="00833213" w:rsidRPr="00833213" w:rsidRDefault="00833213" w:rsidP="00833213">
      <w:pPr>
        <w:pStyle w:val="ListParagraph"/>
        <w:numPr>
          <w:ilvl w:val="0"/>
          <w:numId w:val="30"/>
        </w:numPr>
        <w:spacing w:before="120" w:after="0" w:line="240" w:lineRule="auto"/>
        <w:rPr>
          <w:rFonts w:ascii="Times New Roman" w:eastAsia="Times New Roman" w:hAnsi="Times New Roman"/>
          <w:sz w:val="24"/>
          <w:szCs w:val="24"/>
          <w:lang w:val="en-GB" w:eastAsia="en-GB"/>
        </w:rPr>
      </w:pPr>
      <w:r w:rsidRPr="00833213">
        <w:rPr>
          <w:rFonts w:ascii="Times New Roman" w:eastAsia="Times New Roman" w:hAnsi="Times New Roman"/>
          <w:sz w:val="24"/>
          <w:szCs w:val="24"/>
          <w:lang w:val="en-GB" w:eastAsia="en-GB"/>
        </w:rPr>
        <w:t>Full participation of civil society in planning and decision-making through a gender-sensitive approach is key for empowering vulnerable communities to adapt to climate change.</w:t>
      </w:r>
    </w:p>
    <w:p w:rsidR="00833213" w:rsidRPr="00833213" w:rsidRDefault="00833213" w:rsidP="00833213">
      <w:pPr>
        <w:spacing w:before="120"/>
        <w:rPr>
          <w:b/>
          <w:sz w:val="24"/>
          <w:lang w:eastAsia="en-GB"/>
        </w:rPr>
      </w:pPr>
      <w:r w:rsidRPr="00833213">
        <w:rPr>
          <w:b/>
          <w:sz w:val="24"/>
          <w:lang w:eastAsia="en-GB"/>
        </w:rPr>
        <w:t>Climate change adaptation needs investment in DRR</w:t>
      </w:r>
    </w:p>
    <w:p w:rsidR="00833213" w:rsidRPr="00833213" w:rsidRDefault="00833213" w:rsidP="00833213">
      <w:pPr>
        <w:pStyle w:val="ListParagraph"/>
        <w:numPr>
          <w:ilvl w:val="0"/>
          <w:numId w:val="30"/>
        </w:numPr>
        <w:spacing w:before="120" w:after="0" w:line="240" w:lineRule="auto"/>
        <w:rPr>
          <w:rFonts w:ascii="Times New Roman" w:eastAsia="Times New Roman" w:hAnsi="Times New Roman"/>
          <w:sz w:val="24"/>
          <w:szCs w:val="24"/>
          <w:lang w:val="en-GB" w:eastAsia="en-GB"/>
        </w:rPr>
      </w:pPr>
      <w:r w:rsidRPr="00833213">
        <w:rPr>
          <w:rFonts w:ascii="Times New Roman" w:eastAsia="Times New Roman" w:hAnsi="Times New Roman"/>
          <w:sz w:val="24"/>
          <w:szCs w:val="24"/>
          <w:lang w:val="en-GB" w:eastAsia="en-GB"/>
        </w:rPr>
        <w:t>Substantial and additional human and financial resources should be made available for disaster risk reduction, risk management and social protection to build resilience and adaptive capacity among the most vulnerable people.</w:t>
      </w:r>
    </w:p>
    <w:p w:rsidR="00833213" w:rsidRPr="00833213" w:rsidRDefault="00833213" w:rsidP="00833213">
      <w:pPr>
        <w:pStyle w:val="ListParagraph"/>
        <w:numPr>
          <w:ilvl w:val="0"/>
          <w:numId w:val="30"/>
        </w:numPr>
        <w:spacing w:before="120" w:after="0" w:line="240" w:lineRule="auto"/>
        <w:rPr>
          <w:rFonts w:ascii="Times New Roman" w:eastAsia="Times New Roman" w:hAnsi="Times New Roman"/>
          <w:sz w:val="24"/>
          <w:szCs w:val="24"/>
          <w:lang w:val="en-GB" w:eastAsia="en-GB"/>
        </w:rPr>
      </w:pPr>
      <w:r w:rsidRPr="00833213">
        <w:rPr>
          <w:rFonts w:ascii="Times New Roman" w:eastAsia="Times New Roman" w:hAnsi="Times New Roman"/>
          <w:sz w:val="24"/>
          <w:szCs w:val="24"/>
          <w:lang w:val="en-GB" w:eastAsia="en-GB"/>
        </w:rPr>
        <w:t>Building resilience requires investments in prevention and preparedness in line with the priorities of the Hyogo Framework for Action, and closer alignment with development processes.</w:t>
      </w:r>
    </w:p>
    <w:p w:rsidR="00833213" w:rsidRPr="00833213" w:rsidRDefault="00833213" w:rsidP="00833213">
      <w:pPr>
        <w:pStyle w:val="ListParagraph"/>
        <w:numPr>
          <w:ilvl w:val="0"/>
          <w:numId w:val="30"/>
        </w:numPr>
        <w:spacing w:before="120" w:after="0" w:line="240" w:lineRule="auto"/>
        <w:rPr>
          <w:rFonts w:ascii="Times New Roman" w:eastAsia="Times New Roman" w:hAnsi="Times New Roman"/>
          <w:sz w:val="24"/>
          <w:szCs w:val="24"/>
          <w:lang w:val="en-GB" w:eastAsia="en-GB"/>
        </w:rPr>
      </w:pPr>
      <w:r w:rsidRPr="00833213">
        <w:rPr>
          <w:rFonts w:ascii="Times New Roman" w:eastAsia="Times New Roman" w:hAnsi="Times New Roman"/>
          <w:sz w:val="24"/>
          <w:szCs w:val="24"/>
          <w:lang w:val="en-GB" w:eastAsia="en-GB"/>
        </w:rPr>
        <w:t xml:space="preserve">Funding should be available at national, sub-national and local levels. </w:t>
      </w:r>
    </w:p>
    <w:p w:rsidR="00833213" w:rsidRPr="00833213" w:rsidRDefault="00833213" w:rsidP="00833213">
      <w:pPr>
        <w:pStyle w:val="ListParagraph"/>
        <w:numPr>
          <w:ilvl w:val="0"/>
          <w:numId w:val="30"/>
        </w:numPr>
        <w:spacing w:before="120" w:after="0" w:line="240" w:lineRule="auto"/>
        <w:rPr>
          <w:rFonts w:ascii="Times New Roman" w:eastAsia="Times New Roman" w:hAnsi="Times New Roman"/>
          <w:sz w:val="24"/>
          <w:szCs w:val="24"/>
          <w:lang w:val="en-GB" w:eastAsia="en-GB"/>
        </w:rPr>
      </w:pPr>
      <w:r w:rsidRPr="00833213">
        <w:rPr>
          <w:rFonts w:ascii="Times New Roman" w:eastAsia="Times New Roman" w:hAnsi="Times New Roman"/>
          <w:sz w:val="24"/>
          <w:szCs w:val="24"/>
          <w:lang w:val="en-GB" w:eastAsia="en-GB"/>
        </w:rPr>
        <w:t>Allocation of funding should be transparent and balanced between mitigation and adaptation.</w:t>
      </w:r>
    </w:p>
    <w:p w:rsidR="00A87AB4" w:rsidRDefault="00A87AB4" w:rsidP="00EF1D68">
      <w:pPr>
        <w:spacing w:before="120"/>
        <w:rPr>
          <w:b/>
          <w:sz w:val="28"/>
          <w:szCs w:val="28"/>
          <w:lang w:val="en-US"/>
        </w:rPr>
      </w:pPr>
      <w:r w:rsidRPr="00A87AB4">
        <w:rPr>
          <w:b/>
          <w:sz w:val="28"/>
          <w:szCs w:val="28"/>
          <w:lang w:val="en-US"/>
        </w:rPr>
        <w:lastRenderedPageBreak/>
        <w:t>V</w:t>
      </w:r>
      <w:r w:rsidR="00B13890">
        <w:rPr>
          <w:b/>
          <w:sz w:val="28"/>
          <w:szCs w:val="28"/>
          <w:lang w:val="en-US"/>
        </w:rPr>
        <w:t>I</w:t>
      </w:r>
      <w:r w:rsidRPr="00A87AB4">
        <w:rPr>
          <w:b/>
          <w:sz w:val="28"/>
          <w:szCs w:val="28"/>
          <w:lang w:val="en-US"/>
        </w:rPr>
        <w:tab/>
        <w:t>Advocacy calendar</w:t>
      </w:r>
    </w:p>
    <w:p w:rsidR="00F00195" w:rsidRPr="00F00195" w:rsidRDefault="00B660AA" w:rsidP="00931744">
      <w:pPr>
        <w:numPr>
          <w:ilvl w:val="0"/>
          <w:numId w:val="32"/>
        </w:numPr>
        <w:tabs>
          <w:tab w:val="clear" w:pos="567"/>
          <w:tab w:val="clear" w:pos="992"/>
        </w:tabs>
        <w:autoSpaceDE w:val="0"/>
        <w:autoSpaceDN w:val="0"/>
        <w:adjustRightInd w:val="0"/>
        <w:spacing w:before="60" w:line="240" w:lineRule="auto"/>
        <w:ind w:left="714" w:hanging="357"/>
        <w:rPr>
          <w:sz w:val="24"/>
          <w:lang w:eastAsia="en-GB"/>
        </w:rPr>
      </w:pPr>
      <w:r w:rsidRPr="00F00195">
        <w:rPr>
          <w:sz w:val="24"/>
          <w:lang w:eastAsia="en-GB"/>
        </w:rPr>
        <w:t>UNFCCC negotiation session</w:t>
      </w:r>
      <w:r w:rsidR="00F00195" w:rsidRPr="00F00195">
        <w:rPr>
          <w:sz w:val="24"/>
          <w:lang w:eastAsia="en-GB"/>
        </w:rPr>
        <w:t>,</w:t>
      </w:r>
      <w:r w:rsidRPr="00F00195">
        <w:rPr>
          <w:sz w:val="24"/>
          <w:lang w:eastAsia="en-GB"/>
        </w:rPr>
        <w:t xml:space="preserve"> </w:t>
      </w:r>
      <w:r w:rsidR="00F00195" w:rsidRPr="00F00195">
        <w:rPr>
          <w:sz w:val="24"/>
          <w:lang w:eastAsia="en-GB"/>
        </w:rPr>
        <w:t>Tianjin, China, 28 September to 3 October 2010.</w:t>
      </w:r>
    </w:p>
    <w:p w:rsidR="003A51BB" w:rsidRPr="00F00195" w:rsidRDefault="003A51BB" w:rsidP="00931744">
      <w:pPr>
        <w:numPr>
          <w:ilvl w:val="0"/>
          <w:numId w:val="32"/>
        </w:numPr>
        <w:tabs>
          <w:tab w:val="clear" w:pos="567"/>
          <w:tab w:val="clear" w:pos="992"/>
        </w:tabs>
        <w:autoSpaceDE w:val="0"/>
        <w:autoSpaceDN w:val="0"/>
        <w:adjustRightInd w:val="0"/>
        <w:spacing w:before="60" w:line="240" w:lineRule="auto"/>
        <w:ind w:left="714" w:hanging="357"/>
        <w:rPr>
          <w:sz w:val="24"/>
          <w:lang w:eastAsia="en-GB"/>
        </w:rPr>
      </w:pPr>
      <w:r w:rsidRPr="00F00195">
        <w:rPr>
          <w:sz w:val="24"/>
          <w:lang w:eastAsia="en-GB"/>
        </w:rPr>
        <w:t>HFA mid-term review meetings</w:t>
      </w:r>
      <w:r w:rsidR="00F00195">
        <w:rPr>
          <w:sz w:val="24"/>
          <w:lang w:eastAsia="en-GB"/>
        </w:rPr>
        <w:t xml:space="preserve"> with</w:t>
      </w:r>
      <w:r w:rsidRPr="00F00195">
        <w:rPr>
          <w:sz w:val="24"/>
          <w:lang w:eastAsia="en-GB"/>
        </w:rPr>
        <w:t xml:space="preserve"> governments</w:t>
      </w:r>
      <w:r w:rsidR="00F00195">
        <w:rPr>
          <w:sz w:val="24"/>
          <w:lang w:eastAsia="en-GB"/>
        </w:rPr>
        <w:t xml:space="preserve"> and other stakeholders</w:t>
      </w:r>
      <w:r w:rsidR="00C742FC">
        <w:rPr>
          <w:sz w:val="24"/>
          <w:lang w:eastAsia="en-GB"/>
        </w:rPr>
        <w:t>.</w:t>
      </w:r>
    </w:p>
    <w:p w:rsidR="00030BE9" w:rsidRPr="003A51BB" w:rsidRDefault="00030BE9" w:rsidP="00931744">
      <w:pPr>
        <w:numPr>
          <w:ilvl w:val="0"/>
          <w:numId w:val="32"/>
        </w:numPr>
        <w:tabs>
          <w:tab w:val="clear" w:pos="567"/>
          <w:tab w:val="clear" w:pos="992"/>
        </w:tabs>
        <w:autoSpaceDE w:val="0"/>
        <w:autoSpaceDN w:val="0"/>
        <w:adjustRightInd w:val="0"/>
        <w:spacing w:before="60" w:line="240" w:lineRule="auto"/>
        <w:ind w:left="714" w:hanging="357"/>
        <w:rPr>
          <w:sz w:val="24"/>
          <w:lang w:eastAsia="en-GB"/>
        </w:rPr>
      </w:pPr>
      <w:r w:rsidRPr="003A51BB">
        <w:rPr>
          <w:sz w:val="24"/>
        </w:rPr>
        <w:t>Social Forum of the Human Rights Council, 4-6 October 2010; Discussion of Human Rights and Climate Change.</w:t>
      </w:r>
    </w:p>
    <w:p w:rsidR="00C30E7B" w:rsidRPr="003A51BB" w:rsidRDefault="00C30E7B" w:rsidP="00931744">
      <w:pPr>
        <w:numPr>
          <w:ilvl w:val="0"/>
          <w:numId w:val="32"/>
        </w:numPr>
        <w:tabs>
          <w:tab w:val="clear" w:pos="567"/>
          <w:tab w:val="clear" w:pos="992"/>
        </w:tabs>
        <w:autoSpaceDE w:val="0"/>
        <w:autoSpaceDN w:val="0"/>
        <w:adjustRightInd w:val="0"/>
        <w:spacing w:before="60" w:line="240" w:lineRule="auto"/>
        <w:ind w:left="714" w:hanging="357"/>
        <w:rPr>
          <w:sz w:val="24"/>
          <w:lang w:eastAsia="en-GB"/>
        </w:rPr>
      </w:pPr>
      <w:r w:rsidRPr="003A51BB">
        <w:rPr>
          <w:sz w:val="24"/>
        </w:rPr>
        <w:t xml:space="preserve">Global Forum </w:t>
      </w:r>
      <w:r>
        <w:rPr>
          <w:sz w:val="24"/>
        </w:rPr>
        <w:t>on</w:t>
      </w:r>
      <w:r w:rsidRPr="003A51BB">
        <w:rPr>
          <w:sz w:val="24"/>
        </w:rPr>
        <w:t xml:space="preserve"> Migration and Development (GFMD)</w:t>
      </w:r>
      <w:r>
        <w:rPr>
          <w:sz w:val="24"/>
        </w:rPr>
        <w:t>,</w:t>
      </w:r>
      <w:r w:rsidRPr="003A51BB">
        <w:rPr>
          <w:sz w:val="24"/>
        </w:rPr>
        <w:t xml:space="preserve"> </w:t>
      </w:r>
      <w:r>
        <w:rPr>
          <w:sz w:val="24"/>
        </w:rPr>
        <w:t xml:space="preserve">8-11 November 2010, </w:t>
      </w:r>
      <w:r w:rsidRPr="003A51BB">
        <w:rPr>
          <w:sz w:val="24"/>
        </w:rPr>
        <w:t>round table on climate change</w:t>
      </w:r>
      <w:r>
        <w:rPr>
          <w:sz w:val="24"/>
        </w:rPr>
        <w:t xml:space="preserve"> in </w:t>
      </w:r>
      <w:r w:rsidRPr="00CE6EF5">
        <w:rPr>
          <w:sz w:val="24"/>
        </w:rPr>
        <w:t>Puerto Vallarta, Mexico</w:t>
      </w:r>
      <w:r w:rsidR="00C742FC">
        <w:rPr>
          <w:sz w:val="24"/>
        </w:rPr>
        <w:t>.</w:t>
      </w:r>
    </w:p>
    <w:p w:rsidR="00C83AC3" w:rsidRPr="00305870" w:rsidRDefault="007F12E7" w:rsidP="00726EB7">
      <w:pPr>
        <w:numPr>
          <w:ilvl w:val="0"/>
          <w:numId w:val="32"/>
        </w:numPr>
        <w:tabs>
          <w:tab w:val="clear" w:pos="567"/>
          <w:tab w:val="clear" w:pos="992"/>
        </w:tabs>
        <w:autoSpaceDE w:val="0"/>
        <w:autoSpaceDN w:val="0"/>
        <w:adjustRightInd w:val="0"/>
        <w:spacing w:before="60" w:line="240" w:lineRule="auto"/>
        <w:ind w:left="714" w:hanging="357"/>
        <w:rPr>
          <w:sz w:val="24"/>
          <w:lang w:eastAsia="en-GB"/>
        </w:rPr>
      </w:pPr>
      <w:r w:rsidRPr="003A51BB">
        <w:rPr>
          <w:sz w:val="24"/>
          <w:lang w:eastAsia="en-GB"/>
        </w:rPr>
        <w:t>Climate Change Conference in Cancun, Mexico (</w:t>
      </w:r>
      <w:smartTag w:uri="urn:schemas-microsoft-com:office:smarttags" w:element="stockticker">
        <w:r w:rsidRPr="003A51BB">
          <w:rPr>
            <w:sz w:val="24"/>
            <w:lang w:eastAsia="en-GB"/>
          </w:rPr>
          <w:t>COP</w:t>
        </w:r>
      </w:smartTag>
      <w:r w:rsidRPr="003A51BB">
        <w:rPr>
          <w:sz w:val="24"/>
          <w:lang w:eastAsia="en-GB"/>
        </w:rPr>
        <w:t xml:space="preserve">16) </w:t>
      </w:r>
      <w:r w:rsidRPr="003A51BB">
        <w:rPr>
          <w:rStyle w:val="Strong"/>
          <w:b w:val="0"/>
          <w:sz w:val="24"/>
        </w:rPr>
        <w:t xml:space="preserve">29 November to </w:t>
      </w:r>
      <w:smartTag w:uri="urn:schemas-microsoft-com:office:smarttags" w:element="date">
        <w:smartTagPr>
          <w:attr w:name="Month" w:val="12"/>
          <w:attr w:name="Day" w:val="10"/>
          <w:attr w:name="Year" w:val="2010"/>
        </w:smartTagPr>
        <w:r w:rsidRPr="003A51BB">
          <w:rPr>
            <w:rStyle w:val="Strong"/>
            <w:b w:val="0"/>
            <w:sz w:val="24"/>
          </w:rPr>
          <w:t>10 December 2010</w:t>
        </w:r>
      </w:smartTag>
      <w:r w:rsidR="00C742FC">
        <w:rPr>
          <w:rStyle w:val="Strong"/>
          <w:b w:val="0"/>
          <w:sz w:val="24"/>
        </w:rPr>
        <w:t>.</w:t>
      </w:r>
    </w:p>
    <w:sectPr w:rsidR="00C83AC3" w:rsidRPr="00305870" w:rsidSect="00C83AC3">
      <w:headerReference w:type="default" r:id="rId7"/>
      <w:footerReference w:type="even" r:id="rId8"/>
      <w:footerReference w:type="default" r:id="rId9"/>
      <w:pgSz w:w="11906" w:h="16838" w:code="9"/>
      <w:pgMar w:top="1418" w:right="1276" w:bottom="1418" w:left="1276"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D1B" w:rsidRDefault="00D50D1B">
      <w:r>
        <w:separator/>
      </w:r>
    </w:p>
  </w:endnote>
  <w:endnote w:type="continuationSeparator" w:id="1">
    <w:p w:rsidR="00D50D1B" w:rsidRDefault="00D50D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C14" w:rsidRDefault="00A46AF1">
    <w:pPr>
      <w:pStyle w:val="Footer"/>
      <w:framePr w:wrap="around" w:vAnchor="text" w:hAnchor="margin" w:xAlign="right" w:y="1"/>
      <w:rPr>
        <w:rStyle w:val="PageNumber"/>
      </w:rPr>
    </w:pPr>
    <w:r>
      <w:rPr>
        <w:rStyle w:val="PageNumber"/>
      </w:rPr>
      <w:fldChar w:fldCharType="begin"/>
    </w:r>
    <w:r w:rsidR="009E7C14">
      <w:rPr>
        <w:rStyle w:val="PageNumber"/>
      </w:rPr>
      <w:instrText xml:space="preserve">PAGE  </w:instrText>
    </w:r>
    <w:r>
      <w:rPr>
        <w:rStyle w:val="PageNumber"/>
      </w:rPr>
      <w:fldChar w:fldCharType="end"/>
    </w:r>
  </w:p>
  <w:p w:rsidR="009E7C14" w:rsidRDefault="009E7C1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C14" w:rsidRDefault="00A46AF1">
    <w:pPr>
      <w:pStyle w:val="Footer"/>
    </w:pPr>
    <w:r w:rsidRPr="00A46AF1">
      <w:rPr>
        <w:noProof/>
        <w:sz w:val="20"/>
      </w:rPr>
      <w:pict>
        <v:shapetype id="_x0000_t202" coordsize="21600,21600" o:spt="202" path="m,l,21600r21600,l21600,xe">
          <v:stroke joinstyle="miter"/>
          <v:path gradientshapeok="t" o:connecttype="rect"/>
        </v:shapetype>
        <v:shape id="_x0000_s2049" type="#_x0000_t202" style="position:absolute;margin-left:292.15pt;margin-top:0;width:24.5pt;height:42.5pt;z-index:251656704;mso-position-horizontal:right;mso-position-horizontal-relative:margin;mso-position-vertical:bottom;mso-position-vertical-relative:page" stroked="f">
          <v:textbox style="mso-next-textbox:#_x0000_s2049" inset="0,0,0,0">
            <w:txbxContent>
              <w:p w:rsidR="009E7C14" w:rsidRDefault="00A46AF1">
                <w:pPr>
                  <w:pStyle w:val="Footer"/>
                  <w:pBdr>
                    <w:top w:val="none" w:sz="0" w:space="0" w:color="auto"/>
                  </w:pBdr>
                  <w:spacing w:before="0"/>
                  <w:jc w:val="right"/>
                </w:pPr>
                <w:r>
                  <w:rPr>
                    <w:rStyle w:val="PageNumber"/>
                  </w:rPr>
                  <w:fldChar w:fldCharType="begin"/>
                </w:r>
                <w:r w:rsidR="009E7C14">
                  <w:rPr>
                    <w:rStyle w:val="PageNumber"/>
                  </w:rPr>
                  <w:instrText xml:space="preserve"> PAGE </w:instrText>
                </w:r>
                <w:r>
                  <w:rPr>
                    <w:rStyle w:val="PageNumber"/>
                  </w:rPr>
                  <w:fldChar w:fldCharType="separate"/>
                </w:r>
                <w:r w:rsidR="00507925">
                  <w:rPr>
                    <w:rStyle w:val="PageNumber"/>
                    <w:noProof/>
                  </w:rPr>
                  <w:t>1</w:t>
                </w:r>
                <w:r>
                  <w:rPr>
                    <w:rStyle w:val="PageNumber"/>
                  </w:rPr>
                  <w:fldChar w:fldCharType="end"/>
                </w:r>
              </w:p>
            </w:txbxContent>
          </v:textbox>
          <w10:wrap anchorx="margin" anchory="page"/>
        </v:shape>
      </w:pict>
    </w:r>
    <w:r w:rsidR="009E7C14">
      <w:t>Inter-Agency Standing Committee (IASC)</w:t>
    </w:r>
    <w:r w:rsidR="009E7C14">
      <w:tab/>
    </w:r>
    <w:r w:rsidR="009E7C14">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D1B" w:rsidRDefault="00D50D1B">
      <w:pPr>
        <w:spacing w:before="60" w:line="240" w:lineRule="exact"/>
      </w:pPr>
      <w:r>
        <w:separator/>
      </w:r>
    </w:p>
  </w:footnote>
  <w:footnote w:type="continuationSeparator" w:id="1">
    <w:p w:rsidR="00D50D1B" w:rsidRDefault="00D50D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C14" w:rsidRDefault="00A46AF1">
    <w:pPr>
      <w:pStyle w:val="Header"/>
    </w:pPr>
    <w:r w:rsidRPr="00A46AF1">
      <w:rPr>
        <w:noProof/>
        <w:sz w:val="20"/>
      </w:rPr>
      <w:pict>
        <v:shapetype id="_x0000_t202" coordsize="21600,21600" o:spt="202" path="m,l,21600r21600,l21600,xe">
          <v:stroke joinstyle="miter"/>
          <v:path gradientshapeok="t" o:connecttype="rect"/>
        </v:shapetype>
        <v:shape id="_x0000_s2050" type="#_x0000_t202" style="position:absolute;margin-left:345.95pt;margin-top:4.7pt;width:79.2pt;height:18.45pt;z-index:251657728;mso-position-horizontal-relative:margin" o:allowoverlap="f" stroked="f">
          <v:textbox style="mso-next-textbox:#_x0000_s2050" inset="0,0,0,0">
            <w:txbxContent>
              <w:p w:rsidR="009E7C14" w:rsidRDefault="009E7C14">
                <w:pPr>
                  <w:pStyle w:val="TableHead"/>
                  <w:spacing w:after="0"/>
                  <w:jc w:val="right"/>
                  <w:rPr>
                    <w:lang w:val="en-US"/>
                  </w:rPr>
                </w:pPr>
              </w:p>
            </w:txbxContent>
          </v:textbox>
          <w10:wrap type="square" anchorx="margin"/>
        </v:shape>
      </w:pict>
    </w:r>
    <w:r w:rsidR="009E7C14">
      <w:rPr>
        <w:sz w:val="18"/>
      </w:rPr>
      <w:t xml:space="preserve">Advocacy Plan 2010: </w:t>
    </w:r>
    <w:r w:rsidR="009E7C14">
      <w:t>IASC Task Force on Climate Change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7472C9B8"/>
    <w:lvl w:ilvl="0">
      <w:start w:val="1"/>
      <w:numFmt w:val="decimal"/>
      <w:pStyle w:val="ListNumber"/>
      <w:lvlText w:val="%1."/>
      <w:lvlJc w:val="left"/>
      <w:pPr>
        <w:tabs>
          <w:tab w:val="num" w:pos="360"/>
        </w:tabs>
        <w:ind w:left="284" w:hanging="284"/>
      </w:pPr>
      <w:rPr>
        <w:rFonts w:hint="default"/>
      </w:rPr>
    </w:lvl>
  </w:abstractNum>
  <w:abstractNum w:abstractNumId="1">
    <w:nsid w:val="008F14CA"/>
    <w:multiLevelType w:val="hybridMultilevel"/>
    <w:tmpl w:val="7F5C6270"/>
    <w:lvl w:ilvl="0" w:tplc="44FE3C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F573C7"/>
    <w:multiLevelType w:val="hybridMultilevel"/>
    <w:tmpl w:val="C4EABE2A"/>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
    <w:nsid w:val="02814D5D"/>
    <w:multiLevelType w:val="hybridMultilevel"/>
    <w:tmpl w:val="5CBE6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AB59EF"/>
    <w:multiLevelType w:val="hybridMultilevel"/>
    <w:tmpl w:val="F2D8E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BE1BD7"/>
    <w:multiLevelType w:val="hybridMultilevel"/>
    <w:tmpl w:val="0180088C"/>
    <w:lvl w:ilvl="0" w:tplc="C670628E">
      <w:start w:val="1"/>
      <w:numFmt w:val="decimal"/>
      <w:pStyle w:val="TableNumbered"/>
      <w:lvlText w:val="%1."/>
      <w:lvlJc w:val="left"/>
      <w:pPr>
        <w:tabs>
          <w:tab w:val="num" w:pos="360"/>
        </w:tabs>
        <w:ind w:left="284" w:hanging="284"/>
      </w:pPr>
      <w:rPr>
        <w:rFonts w:hint="default"/>
      </w:rPr>
    </w:lvl>
    <w:lvl w:ilvl="1" w:tplc="44BC2F08">
      <w:start w:val="1"/>
      <w:numFmt w:val="decimal"/>
      <w:pStyle w:val="TableNumbered"/>
      <w:lvlText w:val="%2."/>
      <w:lvlJc w:val="left"/>
      <w:pPr>
        <w:tabs>
          <w:tab w:val="num" w:pos="1440"/>
        </w:tabs>
        <w:ind w:left="1364" w:hanging="284"/>
      </w:pPr>
      <w:rPr>
        <w:rFonts w:hint="default"/>
      </w:rPr>
    </w:lvl>
    <w:lvl w:ilvl="2" w:tplc="A00A1804" w:tentative="1">
      <w:start w:val="1"/>
      <w:numFmt w:val="bullet"/>
      <w:lvlText w:val=""/>
      <w:lvlJc w:val="left"/>
      <w:pPr>
        <w:tabs>
          <w:tab w:val="num" w:pos="2160"/>
        </w:tabs>
        <w:ind w:left="2160" w:hanging="360"/>
      </w:pPr>
      <w:rPr>
        <w:rFonts w:ascii="Wingdings" w:hAnsi="Wingdings" w:hint="default"/>
      </w:rPr>
    </w:lvl>
    <w:lvl w:ilvl="3" w:tplc="DA824554" w:tentative="1">
      <w:start w:val="1"/>
      <w:numFmt w:val="bullet"/>
      <w:lvlText w:val=""/>
      <w:lvlJc w:val="left"/>
      <w:pPr>
        <w:tabs>
          <w:tab w:val="num" w:pos="2880"/>
        </w:tabs>
        <w:ind w:left="2880" w:hanging="360"/>
      </w:pPr>
      <w:rPr>
        <w:rFonts w:ascii="Symbol" w:hAnsi="Symbol" w:hint="default"/>
      </w:rPr>
    </w:lvl>
    <w:lvl w:ilvl="4" w:tplc="1A385862" w:tentative="1">
      <w:start w:val="1"/>
      <w:numFmt w:val="bullet"/>
      <w:lvlText w:val="o"/>
      <w:lvlJc w:val="left"/>
      <w:pPr>
        <w:tabs>
          <w:tab w:val="num" w:pos="3600"/>
        </w:tabs>
        <w:ind w:left="3600" w:hanging="360"/>
      </w:pPr>
      <w:rPr>
        <w:rFonts w:ascii="Courier New" w:hAnsi="Courier New" w:hint="default"/>
      </w:rPr>
    </w:lvl>
    <w:lvl w:ilvl="5" w:tplc="1F986CE6" w:tentative="1">
      <w:start w:val="1"/>
      <w:numFmt w:val="bullet"/>
      <w:lvlText w:val=""/>
      <w:lvlJc w:val="left"/>
      <w:pPr>
        <w:tabs>
          <w:tab w:val="num" w:pos="4320"/>
        </w:tabs>
        <w:ind w:left="4320" w:hanging="360"/>
      </w:pPr>
      <w:rPr>
        <w:rFonts w:ascii="Wingdings" w:hAnsi="Wingdings" w:hint="default"/>
      </w:rPr>
    </w:lvl>
    <w:lvl w:ilvl="6" w:tplc="28384CBA" w:tentative="1">
      <w:start w:val="1"/>
      <w:numFmt w:val="bullet"/>
      <w:lvlText w:val=""/>
      <w:lvlJc w:val="left"/>
      <w:pPr>
        <w:tabs>
          <w:tab w:val="num" w:pos="5040"/>
        </w:tabs>
        <w:ind w:left="5040" w:hanging="360"/>
      </w:pPr>
      <w:rPr>
        <w:rFonts w:ascii="Symbol" w:hAnsi="Symbol" w:hint="default"/>
      </w:rPr>
    </w:lvl>
    <w:lvl w:ilvl="7" w:tplc="F60842C6" w:tentative="1">
      <w:start w:val="1"/>
      <w:numFmt w:val="bullet"/>
      <w:lvlText w:val="o"/>
      <w:lvlJc w:val="left"/>
      <w:pPr>
        <w:tabs>
          <w:tab w:val="num" w:pos="5760"/>
        </w:tabs>
        <w:ind w:left="5760" w:hanging="360"/>
      </w:pPr>
      <w:rPr>
        <w:rFonts w:ascii="Courier New" w:hAnsi="Courier New" w:hint="default"/>
      </w:rPr>
    </w:lvl>
    <w:lvl w:ilvl="8" w:tplc="31ECA11C" w:tentative="1">
      <w:start w:val="1"/>
      <w:numFmt w:val="bullet"/>
      <w:lvlText w:val=""/>
      <w:lvlJc w:val="left"/>
      <w:pPr>
        <w:tabs>
          <w:tab w:val="num" w:pos="6480"/>
        </w:tabs>
        <w:ind w:left="6480" w:hanging="360"/>
      </w:pPr>
      <w:rPr>
        <w:rFonts w:ascii="Wingdings" w:hAnsi="Wingdings" w:hint="default"/>
      </w:rPr>
    </w:lvl>
  </w:abstractNum>
  <w:abstractNum w:abstractNumId="6">
    <w:nsid w:val="14EA0EDD"/>
    <w:multiLevelType w:val="hybridMultilevel"/>
    <w:tmpl w:val="E7960A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C7F7AA4"/>
    <w:multiLevelType w:val="hybridMultilevel"/>
    <w:tmpl w:val="79F8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03217D"/>
    <w:multiLevelType w:val="hybridMultilevel"/>
    <w:tmpl w:val="A170D16E"/>
    <w:lvl w:ilvl="0" w:tplc="3BD2472E">
      <w:start w:val="1"/>
      <w:numFmt w:val="decimal"/>
      <w:pStyle w:val="ActionNumbered"/>
      <w:lvlText w:val="%1."/>
      <w:lvlJc w:val="left"/>
      <w:pPr>
        <w:tabs>
          <w:tab w:val="num" w:pos="567"/>
        </w:tabs>
        <w:ind w:left="567" w:hanging="425"/>
      </w:pPr>
      <w:rPr>
        <w:rFonts w:ascii="Times New Roman" w:hAnsi="Times New Roman" w:hint="default"/>
        <w:b w:val="0"/>
        <w:i w:val="0"/>
        <w:sz w:val="22"/>
      </w:rPr>
    </w:lvl>
    <w:lvl w:ilvl="1" w:tplc="34FADBB6">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nsid w:val="2194600E"/>
    <w:multiLevelType w:val="hybridMultilevel"/>
    <w:tmpl w:val="6A129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8A1829"/>
    <w:multiLevelType w:val="hybridMultilevel"/>
    <w:tmpl w:val="098C82C4"/>
    <w:lvl w:ilvl="0" w:tplc="C09831D4">
      <w:start w:val="1"/>
      <w:numFmt w:val="lowerLetter"/>
      <w:pStyle w:val="ListCharacters"/>
      <w:lvlText w:val="(%1)"/>
      <w:lvlJc w:val="left"/>
      <w:pPr>
        <w:tabs>
          <w:tab w:val="num" w:pos="567"/>
        </w:tabs>
        <w:ind w:left="567" w:hanging="425"/>
      </w:pPr>
      <w:rPr>
        <w:rFonts w:hint="default"/>
      </w:rPr>
    </w:lvl>
    <w:lvl w:ilvl="1" w:tplc="04090019">
      <w:start w:val="1"/>
      <w:numFmt w:val="decimal"/>
      <w:lvlText w:val="%2."/>
      <w:lvlJc w:val="left"/>
      <w:pPr>
        <w:tabs>
          <w:tab w:val="num" w:pos="1440"/>
        </w:tabs>
        <w:ind w:left="1364" w:hanging="284"/>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nsid w:val="2EAB0A9A"/>
    <w:multiLevelType w:val="hybridMultilevel"/>
    <w:tmpl w:val="E870B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8062BD"/>
    <w:multiLevelType w:val="hybridMultilevel"/>
    <w:tmpl w:val="7DB07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E773D6"/>
    <w:multiLevelType w:val="hybridMultilevel"/>
    <w:tmpl w:val="BEFC4EE2"/>
    <w:lvl w:ilvl="0" w:tplc="62AA8184">
      <w:start w:val="1"/>
      <w:numFmt w:val="bullet"/>
      <w:pStyle w:val="ListBullet2"/>
      <w:lvlText w:val=""/>
      <w:lvlJc w:val="left"/>
      <w:pPr>
        <w:tabs>
          <w:tab w:val="num" w:pos="992"/>
        </w:tabs>
        <w:ind w:left="992" w:hanging="425"/>
      </w:pPr>
      <w:rPr>
        <w:rFonts w:ascii="Wingdings" w:hAnsi="Wingdings" w:hint="default"/>
      </w:rPr>
    </w:lvl>
    <w:lvl w:ilvl="1" w:tplc="34FADBB6"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4D7372"/>
    <w:multiLevelType w:val="hybridMultilevel"/>
    <w:tmpl w:val="5D6EAFEC"/>
    <w:lvl w:ilvl="0" w:tplc="AFF259B0">
      <w:start w:val="1"/>
      <w:numFmt w:val="bullet"/>
      <w:pStyle w:val="Table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2528DF"/>
    <w:multiLevelType w:val="hybridMultilevel"/>
    <w:tmpl w:val="345AD7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85654C2"/>
    <w:multiLevelType w:val="hybridMultilevel"/>
    <w:tmpl w:val="D2DE4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5628F3"/>
    <w:multiLevelType w:val="hybridMultilevel"/>
    <w:tmpl w:val="76BA5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5931DB"/>
    <w:multiLevelType w:val="hybridMultilevel"/>
    <w:tmpl w:val="C77A249C"/>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A9D240B"/>
    <w:multiLevelType w:val="hybridMultilevel"/>
    <w:tmpl w:val="BE2E71F6"/>
    <w:lvl w:ilvl="0" w:tplc="63F66EAC">
      <w:start w:val="1"/>
      <w:numFmt w:val="lowerLetter"/>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BE14702"/>
    <w:multiLevelType w:val="hybridMultilevel"/>
    <w:tmpl w:val="5D32E58E"/>
    <w:lvl w:ilvl="0" w:tplc="408240DA">
      <w:start w:val="1"/>
      <w:numFmt w:val="bullet"/>
      <w:pStyle w:val="ListBullet"/>
      <w:lvlText w:val=""/>
      <w:lvlJc w:val="left"/>
      <w:pPr>
        <w:tabs>
          <w:tab w:val="num" w:pos="567"/>
        </w:tabs>
        <w:ind w:left="567" w:hanging="425"/>
      </w:pPr>
      <w:rPr>
        <w:rFonts w:ascii="Wingdings" w:hAnsi="Wingdings" w:hint="default"/>
      </w:rPr>
    </w:lvl>
    <w:lvl w:ilvl="1" w:tplc="04090003">
      <w:start w:val="1"/>
      <w:numFmt w:val="decimal"/>
      <w:lvlText w:val="%2."/>
      <w:lvlJc w:val="left"/>
      <w:pPr>
        <w:tabs>
          <w:tab w:val="num" w:pos="1440"/>
        </w:tabs>
        <w:ind w:left="1364" w:hanging="28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894725C"/>
    <w:multiLevelType w:val="hybridMultilevel"/>
    <w:tmpl w:val="54D85390"/>
    <w:lvl w:ilvl="0" w:tplc="2676D7F0">
      <w:start w:val="1"/>
      <w:numFmt w:val="lowerLetter"/>
      <w:pStyle w:val="ActionCharacter"/>
      <w:lvlText w:val="(%1)"/>
      <w:lvlJc w:val="left"/>
      <w:pPr>
        <w:tabs>
          <w:tab w:val="num" w:pos="502"/>
        </w:tabs>
        <w:ind w:left="425" w:hanging="283"/>
      </w:pPr>
      <w:rPr>
        <w:rFonts w:hint="default"/>
      </w:rPr>
    </w:lvl>
    <w:lvl w:ilvl="1" w:tplc="34FADBB6"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nsid w:val="5D014086"/>
    <w:multiLevelType w:val="multilevel"/>
    <w:tmpl w:val="91980664"/>
    <w:lvl w:ilvl="0">
      <w:start w:val="1"/>
      <w:numFmt w:val="upperRoman"/>
      <w:pStyle w:val="Heading1"/>
      <w:lvlText w:val="%1"/>
      <w:lvlJc w:val="left"/>
      <w:pPr>
        <w:tabs>
          <w:tab w:val="num" w:pos="567"/>
        </w:tabs>
        <w:ind w:left="567" w:hanging="567"/>
      </w:pPr>
      <w:rPr>
        <w:rFonts w:hint="default"/>
      </w:rPr>
    </w:lvl>
    <w:lvl w:ilvl="1">
      <w:start w:val="1"/>
      <w:numFmt w:val="decimal"/>
      <w:pStyle w:val="Heading2"/>
      <w:isLgl/>
      <w:lvlText w:val="%1.%2"/>
      <w:lvlJc w:val="left"/>
      <w:pPr>
        <w:tabs>
          <w:tab w:val="num" w:pos="567"/>
        </w:tabs>
        <w:ind w:left="567" w:hanging="567"/>
      </w:pPr>
      <w:rPr>
        <w:rFonts w:hint="default"/>
      </w:rPr>
    </w:lvl>
    <w:lvl w:ilvl="2">
      <w:start w:val="1"/>
      <w:numFmt w:val="decimal"/>
      <w:pStyle w:val="Heading3"/>
      <w:isLgl/>
      <w:lvlText w:val="%1.%2.%3"/>
      <w:lvlJc w:val="left"/>
      <w:pPr>
        <w:tabs>
          <w:tab w:val="num" w:pos="567"/>
        </w:tabs>
        <w:ind w:left="567" w:hanging="567"/>
      </w:pPr>
      <w:rPr>
        <w:rFonts w:hint="default"/>
      </w:rPr>
    </w:lvl>
    <w:lvl w:ilvl="3">
      <w:start w:val="1"/>
      <w:numFmt w:val="decimal"/>
      <w:pStyle w:val="Heading4"/>
      <w:lvlText w:val="%1.%2.%3.%4"/>
      <w:lvlJc w:val="left"/>
      <w:pPr>
        <w:tabs>
          <w:tab w:val="num" w:pos="1080"/>
        </w:tabs>
        <w:ind w:left="567" w:hanging="567"/>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nsid w:val="60090642"/>
    <w:multiLevelType w:val="hybridMultilevel"/>
    <w:tmpl w:val="8BC69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781294"/>
    <w:multiLevelType w:val="hybridMultilevel"/>
    <w:tmpl w:val="0A2A6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9122FF"/>
    <w:multiLevelType w:val="hybridMultilevel"/>
    <w:tmpl w:val="96329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B376D2D"/>
    <w:multiLevelType w:val="hybridMultilevel"/>
    <w:tmpl w:val="F0D26CEC"/>
    <w:lvl w:ilvl="0" w:tplc="4FBE9F06">
      <w:start w:val="1"/>
      <w:numFmt w:val="decimal"/>
      <w:lvlText w:val="%1."/>
      <w:lvlJc w:val="left"/>
      <w:pPr>
        <w:ind w:left="720" w:hanging="360"/>
      </w:pPr>
      <w:rPr>
        <w:rFonts w:hint="default"/>
      </w:rPr>
    </w:lvl>
    <w:lvl w:ilvl="1" w:tplc="3BEE9DD2">
      <w:start w:val="1"/>
      <w:numFmt w:val="lowerLetter"/>
      <w:lvlText w:val="%2)"/>
      <w:lvlJc w:val="left"/>
      <w:pPr>
        <w:ind w:left="1440" w:hanging="360"/>
      </w:pPr>
      <w:rPr>
        <w:rFonts w:hint="default"/>
      </w:rPr>
    </w:lvl>
    <w:lvl w:ilvl="2" w:tplc="05F04550" w:tentative="1">
      <w:start w:val="1"/>
      <w:numFmt w:val="lowerRoman"/>
      <w:lvlText w:val="%3."/>
      <w:lvlJc w:val="right"/>
      <w:pPr>
        <w:ind w:left="2160" w:hanging="180"/>
      </w:pPr>
    </w:lvl>
    <w:lvl w:ilvl="3" w:tplc="5FA4A0C8" w:tentative="1">
      <w:start w:val="1"/>
      <w:numFmt w:val="decimal"/>
      <w:lvlText w:val="%4."/>
      <w:lvlJc w:val="left"/>
      <w:pPr>
        <w:ind w:left="2880" w:hanging="360"/>
      </w:pPr>
    </w:lvl>
    <w:lvl w:ilvl="4" w:tplc="8728B30C" w:tentative="1">
      <w:start w:val="1"/>
      <w:numFmt w:val="lowerLetter"/>
      <w:lvlText w:val="%5."/>
      <w:lvlJc w:val="left"/>
      <w:pPr>
        <w:ind w:left="3600" w:hanging="360"/>
      </w:pPr>
    </w:lvl>
    <w:lvl w:ilvl="5" w:tplc="64160B70" w:tentative="1">
      <w:start w:val="1"/>
      <w:numFmt w:val="lowerRoman"/>
      <w:lvlText w:val="%6."/>
      <w:lvlJc w:val="right"/>
      <w:pPr>
        <w:ind w:left="4320" w:hanging="180"/>
      </w:pPr>
    </w:lvl>
    <w:lvl w:ilvl="6" w:tplc="36BAC5C6" w:tentative="1">
      <w:start w:val="1"/>
      <w:numFmt w:val="decimal"/>
      <w:lvlText w:val="%7."/>
      <w:lvlJc w:val="left"/>
      <w:pPr>
        <w:ind w:left="5040" w:hanging="360"/>
      </w:pPr>
    </w:lvl>
    <w:lvl w:ilvl="7" w:tplc="AE9E5DDE" w:tentative="1">
      <w:start w:val="1"/>
      <w:numFmt w:val="lowerLetter"/>
      <w:lvlText w:val="%8."/>
      <w:lvlJc w:val="left"/>
      <w:pPr>
        <w:ind w:left="5760" w:hanging="360"/>
      </w:pPr>
    </w:lvl>
    <w:lvl w:ilvl="8" w:tplc="A6381F1E" w:tentative="1">
      <w:start w:val="1"/>
      <w:numFmt w:val="lowerRoman"/>
      <w:lvlText w:val="%9."/>
      <w:lvlJc w:val="right"/>
      <w:pPr>
        <w:ind w:left="6480" w:hanging="180"/>
      </w:pPr>
    </w:lvl>
  </w:abstractNum>
  <w:abstractNum w:abstractNumId="27">
    <w:nsid w:val="6BF27952"/>
    <w:multiLevelType w:val="hybridMultilevel"/>
    <w:tmpl w:val="15745EE2"/>
    <w:lvl w:ilvl="0" w:tplc="0406000F">
      <w:start w:val="1"/>
      <w:numFmt w:val="decimal"/>
      <w:pStyle w:val="ListNumbered2"/>
      <w:lvlText w:val="%1."/>
      <w:lvlJc w:val="left"/>
      <w:pPr>
        <w:tabs>
          <w:tab w:val="num" w:pos="992"/>
        </w:tabs>
        <w:ind w:left="992" w:hanging="425"/>
      </w:pPr>
      <w:rPr>
        <w:rFonts w:hint="default"/>
      </w:rPr>
    </w:lvl>
    <w:lvl w:ilvl="1" w:tplc="1C3476C8">
      <w:start w:val="1"/>
      <w:numFmt w:val="lowerLetter"/>
      <w:pStyle w:val="ListCharacters2"/>
      <w:lvlText w:val="(%2)"/>
      <w:lvlJc w:val="left"/>
      <w:pPr>
        <w:tabs>
          <w:tab w:val="num" w:pos="1505"/>
        </w:tabs>
        <w:ind w:left="1505" w:hanging="425"/>
      </w:pPr>
      <w:rPr>
        <w:rFonts w:hint="default"/>
      </w:rPr>
    </w:lvl>
    <w:lvl w:ilvl="2" w:tplc="0406001B" w:tentative="1">
      <w:start w:val="1"/>
      <w:numFmt w:val="bullet"/>
      <w:lvlText w:val=""/>
      <w:lvlJc w:val="left"/>
      <w:pPr>
        <w:tabs>
          <w:tab w:val="num" w:pos="2160"/>
        </w:tabs>
        <w:ind w:left="2160" w:hanging="360"/>
      </w:pPr>
      <w:rPr>
        <w:rFonts w:ascii="Wingdings" w:hAnsi="Wingdings" w:hint="default"/>
      </w:rPr>
    </w:lvl>
    <w:lvl w:ilvl="3" w:tplc="0406000F" w:tentative="1">
      <w:start w:val="1"/>
      <w:numFmt w:val="bullet"/>
      <w:lvlText w:val=""/>
      <w:lvlJc w:val="left"/>
      <w:pPr>
        <w:tabs>
          <w:tab w:val="num" w:pos="2880"/>
        </w:tabs>
        <w:ind w:left="2880" w:hanging="360"/>
      </w:pPr>
      <w:rPr>
        <w:rFonts w:ascii="Symbol" w:hAnsi="Symbol" w:hint="default"/>
      </w:rPr>
    </w:lvl>
    <w:lvl w:ilvl="4" w:tplc="04060019" w:tentative="1">
      <w:start w:val="1"/>
      <w:numFmt w:val="bullet"/>
      <w:lvlText w:val="o"/>
      <w:lvlJc w:val="left"/>
      <w:pPr>
        <w:tabs>
          <w:tab w:val="num" w:pos="3600"/>
        </w:tabs>
        <w:ind w:left="3600" w:hanging="360"/>
      </w:pPr>
      <w:rPr>
        <w:rFonts w:ascii="Courier New" w:hAnsi="Courier New" w:hint="default"/>
      </w:rPr>
    </w:lvl>
    <w:lvl w:ilvl="5" w:tplc="0406001B" w:tentative="1">
      <w:start w:val="1"/>
      <w:numFmt w:val="bullet"/>
      <w:lvlText w:val=""/>
      <w:lvlJc w:val="left"/>
      <w:pPr>
        <w:tabs>
          <w:tab w:val="num" w:pos="4320"/>
        </w:tabs>
        <w:ind w:left="4320" w:hanging="360"/>
      </w:pPr>
      <w:rPr>
        <w:rFonts w:ascii="Wingdings" w:hAnsi="Wingdings" w:hint="default"/>
      </w:rPr>
    </w:lvl>
    <w:lvl w:ilvl="6" w:tplc="0406000F" w:tentative="1">
      <w:start w:val="1"/>
      <w:numFmt w:val="bullet"/>
      <w:lvlText w:val=""/>
      <w:lvlJc w:val="left"/>
      <w:pPr>
        <w:tabs>
          <w:tab w:val="num" w:pos="5040"/>
        </w:tabs>
        <w:ind w:left="5040" w:hanging="360"/>
      </w:pPr>
      <w:rPr>
        <w:rFonts w:ascii="Symbol" w:hAnsi="Symbol" w:hint="default"/>
      </w:rPr>
    </w:lvl>
    <w:lvl w:ilvl="7" w:tplc="04060019" w:tentative="1">
      <w:start w:val="1"/>
      <w:numFmt w:val="bullet"/>
      <w:lvlText w:val="o"/>
      <w:lvlJc w:val="left"/>
      <w:pPr>
        <w:tabs>
          <w:tab w:val="num" w:pos="5760"/>
        </w:tabs>
        <w:ind w:left="5760" w:hanging="360"/>
      </w:pPr>
      <w:rPr>
        <w:rFonts w:ascii="Courier New" w:hAnsi="Courier New" w:hint="default"/>
      </w:rPr>
    </w:lvl>
    <w:lvl w:ilvl="8" w:tplc="0406001B" w:tentative="1">
      <w:start w:val="1"/>
      <w:numFmt w:val="bullet"/>
      <w:lvlText w:val=""/>
      <w:lvlJc w:val="left"/>
      <w:pPr>
        <w:tabs>
          <w:tab w:val="num" w:pos="6480"/>
        </w:tabs>
        <w:ind w:left="6480" w:hanging="360"/>
      </w:pPr>
      <w:rPr>
        <w:rFonts w:ascii="Wingdings" w:hAnsi="Wingdings" w:hint="default"/>
      </w:rPr>
    </w:lvl>
  </w:abstractNum>
  <w:abstractNum w:abstractNumId="28">
    <w:nsid w:val="70205993"/>
    <w:multiLevelType w:val="hybridMultilevel"/>
    <w:tmpl w:val="66486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7193FFB"/>
    <w:multiLevelType w:val="hybridMultilevel"/>
    <w:tmpl w:val="84D20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CB50DBC"/>
    <w:multiLevelType w:val="hybridMultilevel"/>
    <w:tmpl w:val="38EAC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EB244D5"/>
    <w:multiLevelType w:val="hybridMultilevel"/>
    <w:tmpl w:val="E4F2CC7C"/>
    <w:lvl w:ilvl="0" w:tplc="0C80C87C">
      <w:start w:val="1"/>
      <w:numFmt w:val="decimal"/>
      <w:lvlText w:val="%1."/>
      <w:lvlJc w:val="left"/>
      <w:pPr>
        <w:ind w:left="1005" w:hanging="435"/>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32">
    <w:nsid w:val="7F327506"/>
    <w:multiLevelType w:val="hybridMultilevel"/>
    <w:tmpl w:val="D69A944C"/>
    <w:lvl w:ilvl="0" w:tplc="AA02AC1C">
      <w:start w:val="1"/>
      <w:numFmt w:val="decimal"/>
      <w:pStyle w:val="ListNumbered"/>
      <w:lvlText w:val="%1."/>
      <w:lvlJc w:val="left"/>
      <w:pPr>
        <w:tabs>
          <w:tab w:val="num" w:pos="567"/>
        </w:tabs>
        <w:ind w:left="567" w:hanging="425"/>
      </w:pPr>
      <w:rPr>
        <w:rFonts w:hint="default"/>
      </w:rPr>
    </w:lvl>
    <w:lvl w:ilvl="1" w:tplc="70DC2DA4"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20"/>
  </w:num>
  <w:num w:numId="2">
    <w:abstractNumId w:val="13"/>
  </w:num>
  <w:num w:numId="3">
    <w:abstractNumId w:val="8"/>
  </w:num>
  <w:num w:numId="4">
    <w:abstractNumId w:val="22"/>
  </w:num>
  <w:num w:numId="5">
    <w:abstractNumId w:val="27"/>
  </w:num>
  <w:num w:numId="6">
    <w:abstractNumId w:val="0"/>
  </w:num>
  <w:num w:numId="7">
    <w:abstractNumId w:val="5"/>
  </w:num>
  <w:num w:numId="8">
    <w:abstractNumId w:val="10"/>
  </w:num>
  <w:num w:numId="9">
    <w:abstractNumId w:val="14"/>
  </w:num>
  <w:num w:numId="10">
    <w:abstractNumId w:val="32"/>
  </w:num>
  <w:num w:numId="11">
    <w:abstractNumId w:val="21"/>
  </w:num>
  <w:num w:numId="12">
    <w:abstractNumId w:val="26"/>
  </w:num>
  <w:num w:numId="13">
    <w:abstractNumId w:val="28"/>
  </w:num>
  <w:num w:numId="14">
    <w:abstractNumId w:val="3"/>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5"/>
  </w:num>
  <w:num w:numId="24">
    <w:abstractNumId w:val="19"/>
  </w:num>
  <w:num w:numId="25">
    <w:abstractNumId w:val="2"/>
  </w:num>
  <w:num w:numId="26">
    <w:abstractNumId w:val="25"/>
  </w:num>
  <w:num w:numId="27">
    <w:abstractNumId w:val="4"/>
  </w:num>
  <w:num w:numId="28">
    <w:abstractNumId w:val="7"/>
  </w:num>
  <w:num w:numId="29">
    <w:abstractNumId w:val="6"/>
  </w:num>
  <w:num w:numId="30">
    <w:abstractNumId w:val="17"/>
  </w:num>
  <w:num w:numId="31">
    <w:abstractNumId w:val="1"/>
  </w:num>
  <w:num w:numId="32">
    <w:abstractNumId w:val="29"/>
  </w:num>
  <w:num w:numId="33">
    <w:abstractNumId w:val="12"/>
  </w:num>
  <w:num w:numId="34">
    <w:abstractNumId w:val="24"/>
  </w:num>
  <w:num w:numId="35">
    <w:abstractNumId w:val="16"/>
  </w:num>
  <w:num w:numId="36">
    <w:abstractNumId w:val="30"/>
  </w:num>
  <w:num w:numId="37">
    <w:abstractNumId w:val="11"/>
  </w:num>
  <w:num w:numId="38">
    <w:abstractNumId w:val="23"/>
  </w:num>
  <w:num w:numId="39">
    <w:abstractNumId w:val="9"/>
  </w:num>
  <w:num w:numId="40">
    <w:abstractNumId w:val="18"/>
  </w:num>
  <w:num w:numId="41">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20"/>
  <w:drawingGridHorizontalSpacing w:val="110"/>
  <w:displayHorizontalDrawingGridEvery w:val="2"/>
  <w:noPunctuationKerning/>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rsids>
    <w:rsidRoot w:val="002A3F9A"/>
    <w:rsid w:val="000165E7"/>
    <w:rsid w:val="00025B89"/>
    <w:rsid w:val="00030BE9"/>
    <w:rsid w:val="000326C9"/>
    <w:rsid w:val="00032794"/>
    <w:rsid w:val="00056F17"/>
    <w:rsid w:val="000753EB"/>
    <w:rsid w:val="00077048"/>
    <w:rsid w:val="0007770B"/>
    <w:rsid w:val="00077A3E"/>
    <w:rsid w:val="0008039A"/>
    <w:rsid w:val="00080F87"/>
    <w:rsid w:val="000841CA"/>
    <w:rsid w:val="00085913"/>
    <w:rsid w:val="000972AD"/>
    <w:rsid w:val="000A60F9"/>
    <w:rsid w:val="000E1896"/>
    <w:rsid w:val="000E6EB8"/>
    <w:rsid w:val="000F7760"/>
    <w:rsid w:val="001133CD"/>
    <w:rsid w:val="00120B5D"/>
    <w:rsid w:val="00127145"/>
    <w:rsid w:val="00127B57"/>
    <w:rsid w:val="00130BD1"/>
    <w:rsid w:val="001334B7"/>
    <w:rsid w:val="001349E5"/>
    <w:rsid w:val="001428E1"/>
    <w:rsid w:val="00142C22"/>
    <w:rsid w:val="00150B2F"/>
    <w:rsid w:val="00163275"/>
    <w:rsid w:val="0018701F"/>
    <w:rsid w:val="00197CB3"/>
    <w:rsid w:val="001A6D86"/>
    <w:rsid w:val="001A70CB"/>
    <w:rsid w:val="001C1FEC"/>
    <w:rsid w:val="001D3542"/>
    <w:rsid w:val="001E071E"/>
    <w:rsid w:val="001F59B9"/>
    <w:rsid w:val="002060D1"/>
    <w:rsid w:val="0023553D"/>
    <w:rsid w:val="00265B37"/>
    <w:rsid w:val="00277834"/>
    <w:rsid w:val="0029356F"/>
    <w:rsid w:val="002A290B"/>
    <w:rsid w:val="002A3F9A"/>
    <w:rsid w:val="002B10F1"/>
    <w:rsid w:val="002B6D8E"/>
    <w:rsid w:val="002C2E2C"/>
    <w:rsid w:val="002C338A"/>
    <w:rsid w:val="002D37B5"/>
    <w:rsid w:val="002E19B0"/>
    <w:rsid w:val="002E7331"/>
    <w:rsid w:val="002F5EC6"/>
    <w:rsid w:val="003057B6"/>
    <w:rsid w:val="00305870"/>
    <w:rsid w:val="00311094"/>
    <w:rsid w:val="00352D7C"/>
    <w:rsid w:val="00356BDF"/>
    <w:rsid w:val="00374CE1"/>
    <w:rsid w:val="003841DF"/>
    <w:rsid w:val="00385B92"/>
    <w:rsid w:val="003A51BB"/>
    <w:rsid w:val="003B3C4E"/>
    <w:rsid w:val="003B4517"/>
    <w:rsid w:val="003B5D08"/>
    <w:rsid w:val="003B7D1D"/>
    <w:rsid w:val="003D40E4"/>
    <w:rsid w:val="003D614B"/>
    <w:rsid w:val="003D792E"/>
    <w:rsid w:val="003E5F44"/>
    <w:rsid w:val="003E721F"/>
    <w:rsid w:val="003F3626"/>
    <w:rsid w:val="00404590"/>
    <w:rsid w:val="00415648"/>
    <w:rsid w:val="00444451"/>
    <w:rsid w:val="00446AA3"/>
    <w:rsid w:val="00453B6E"/>
    <w:rsid w:val="00460580"/>
    <w:rsid w:val="00460B80"/>
    <w:rsid w:val="00471BE7"/>
    <w:rsid w:val="00487052"/>
    <w:rsid w:val="004901B3"/>
    <w:rsid w:val="00492702"/>
    <w:rsid w:val="004A0E0D"/>
    <w:rsid w:val="004B1DFF"/>
    <w:rsid w:val="004D75EF"/>
    <w:rsid w:val="004E1ECE"/>
    <w:rsid w:val="004F6A77"/>
    <w:rsid w:val="00507925"/>
    <w:rsid w:val="00507EE4"/>
    <w:rsid w:val="00512E57"/>
    <w:rsid w:val="0051366B"/>
    <w:rsid w:val="00516823"/>
    <w:rsid w:val="00541BA8"/>
    <w:rsid w:val="00544640"/>
    <w:rsid w:val="00546044"/>
    <w:rsid w:val="00554CD6"/>
    <w:rsid w:val="005718C4"/>
    <w:rsid w:val="00577EBC"/>
    <w:rsid w:val="00581C26"/>
    <w:rsid w:val="0059361F"/>
    <w:rsid w:val="005B4EBE"/>
    <w:rsid w:val="005B7742"/>
    <w:rsid w:val="005D2B53"/>
    <w:rsid w:val="005D2D8D"/>
    <w:rsid w:val="005E1354"/>
    <w:rsid w:val="005E536B"/>
    <w:rsid w:val="005F3089"/>
    <w:rsid w:val="005F378A"/>
    <w:rsid w:val="005F77E3"/>
    <w:rsid w:val="005F77FA"/>
    <w:rsid w:val="00601A00"/>
    <w:rsid w:val="00610E1F"/>
    <w:rsid w:val="00650CDD"/>
    <w:rsid w:val="00662E6F"/>
    <w:rsid w:val="00667191"/>
    <w:rsid w:val="00673AC2"/>
    <w:rsid w:val="00685F89"/>
    <w:rsid w:val="006A34A9"/>
    <w:rsid w:val="006B0249"/>
    <w:rsid w:val="006B0F12"/>
    <w:rsid w:val="006B2803"/>
    <w:rsid w:val="006B2E0C"/>
    <w:rsid w:val="006B7489"/>
    <w:rsid w:val="006B74E8"/>
    <w:rsid w:val="006D5DF9"/>
    <w:rsid w:val="006E65E8"/>
    <w:rsid w:val="0070204B"/>
    <w:rsid w:val="00717B50"/>
    <w:rsid w:val="00726EB7"/>
    <w:rsid w:val="007474A5"/>
    <w:rsid w:val="0077422A"/>
    <w:rsid w:val="007851FB"/>
    <w:rsid w:val="007A2A26"/>
    <w:rsid w:val="007C0229"/>
    <w:rsid w:val="007C0431"/>
    <w:rsid w:val="007C0FE3"/>
    <w:rsid w:val="007C32D5"/>
    <w:rsid w:val="007D1E26"/>
    <w:rsid w:val="007D39D9"/>
    <w:rsid w:val="007D4C4D"/>
    <w:rsid w:val="007D7AC7"/>
    <w:rsid w:val="007E34F6"/>
    <w:rsid w:val="007E68B3"/>
    <w:rsid w:val="007F12E7"/>
    <w:rsid w:val="007F22A9"/>
    <w:rsid w:val="007F4992"/>
    <w:rsid w:val="00817067"/>
    <w:rsid w:val="00833213"/>
    <w:rsid w:val="008337AA"/>
    <w:rsid w:val="00835002"/>
    <w:rsid w:val="008439C9"/>
    <w:rsid w:val="00845E49"/>
    <w:rsid w:val="00847FA7"/>
    <w:rsid w:val="0085228B"/>
    <w:rsid w:val="008603B6"/>
    <w:rsid w:val="00867446"/>
    <w:rsid w:val="00873902"/>
    <w:rsid w:val="00881BD5"/>
    <w:rsid w:val="008923E4"/>
    <w:rsid w:val="008953D0"/>
    <w:rsid w:val="008A2A81"/>
    <w:rsid w:val="008A4348"/>
    <w:rsid w:val="008A439C"/>
    <w:rsid w:val="008A59A8"/>
    <w:rsid w:val="008B04EE"/>
    <w:rsid w:val="008C0845"/>
    <w:rsid w:val="008D04FB"/>
    <w:rsid w:val="008D201A"/>
    <w:rsid w:val="008D24C6"/>
    <w:rsid w:val="008E1AA8"/>
    <w:rsid w:val="008E2754"/>
    <w:rsid w:val="009162EA"/>
    <w:rsid w:val="00931744"/>
    <w:rsid w:val="00932087"/>
    <w:rsid w:val="00950179"/>
    <w:rsid w:val="00954D3E"/>
    <w:rsid w:val="00960395"/>
    <w:rsid w:val="00985144"/>
    <w:rsid w:val="009972E5"/>
    <w:rsid w:val="009B005F"/>
    <w:rsid w:val="009D665B"/>
    <w:rsid w:val="009E1E55"/>
    <w:rsid w:val="009E7C14"/>
    <w:rsid w:val="009F029A"/>
    <w:rsid w:val="009F5425"/>
    <w:rsid w:val="009F6A3D"/>
    <w:rsid w:val="00A27A92"/>
    <w:rsid w:val="00A32117"/>
    <w:rsid w:val="00A32DF8"/>
    <w:rsid w:val="00A403D3"/>
    <w:rsid w:val="00A46AF1"/>
    <w:rsid w:val="00A64AB6"/>
    <w:rsid w:val="00A67FD9"/>
    <w:rsid w:val="00A74B2A"/>
    <w:rsid w:val="00A779C9"/>
    <w:rsid w:val="00A87AB4"/>
    <w:rsid w:val="00AA009A"/>
    <w:rsid w:val="00AA021E"/>
    <w:rsid w:val="00AA251E"/>
    <w:rsid w:val="00AA38DB"/>
    <w:rsid w:val="00AA3EC1"/>
    <w:rsid w:val="00AB3154"/>
    <w:rsid w:val="00AB508B"/>
    <w:rsid w:val="00AB748B"/>
    <w:rsid w:val="00AC0699"/>
    <w:rsid w:val="00AC2F47"/>
    <w:rsid w:val="00AC536F"/>
    <w:rsid w:val="00AC7F5A"/>
    <w:rsid w:val="00AE1EE3"/>
    <w:rsid w:val="00AF2FBA"/>
    <w:rsid w:val="00B00D43"/>
    <w:rsid w:val="00B13890"/>
    <w:rsid w:val="00B17F91"/>
    <w:rsid w:val="00B24574"/>
    <w:rsid w:val="00B31365"/>
    <w:rsid w:val="00B33D3B"/>
    <w:rsid w:val="00B363A6"/>
    <w:rsid w:val="00B41441"/>
    <w:rsid w:val="00B45F71"/>
    <w:rsid w:val="00B55F2E"/>
    <w:rsid w:val="00B660AA"/>
    <w:rsid w:val="00B744DA"/>
    <w:rsid w:val="00B92681"/>
    <w:rsid w:val="00BA137C"/>
    <w:rsid w:val="00BA50CA"/>
    <w:rsid w:val="00BA5E09"/>
    <w:rsid w:val="00BB09F4"/>
    <w:rsid w:val="00BB15CE"/>
    <w:rsid w:val="00BC59A9"/>
    <w:rsid w:val="00BC601F"/>
    <w:rsid w:val="00BC7D07"/>
    <w:rsid w:val="00BE0C7B"/>
    <w:rsid w:val="00BE29A5"/>
    <w:rsid w:val="00BE387E"/>
    <w:rsid w:val="00BE6E59"/>
    <w:rsid w:val="00BF37A3"/>
    <w:rsid w:val="00C00CA8"/>
    <w:rsid w:val="00C01266"/>
    <w:rsid w:val="00C03BC8"/>
    <w:rsid w:val="00C15232"/>
    <w:rsid w:val="00C17AB0"/>
    <w:rsid w:val="00C24053"/>
    <w:rsid w:val="00C2663E"/>
    <w:rsid w:val="00C30E7B"/>
    <w:rsid w:val="00C52E38"/>
    <w:rsid w:val="00C61138"/>
    <w:rsid w:val="00C6491A"/>
    <w:rsid w:val="00C703AA"/>
    <w:rsid w:val="00C7092E"/>
    <w:rsid w:val="00C742FC"/>
    <w:rsid w:val="00C83AC3"/>
    <w:rsid w:val="00C83FB9"/>
    <w:rsid w:val="00CA6F47"/>
    <w:rsid w:val="00CB2B33"/>
    <w:rsid w:val="00CB590C"/>
    <w:rsid w:val="00CB739A"/>
    <w:rsid w:val="00CC38C8"/>
    <w:rsid w:val="00CC59CF"/>
    <w:rsid w:val="00CD3D44"/>
    <w:rsid w:val="00CE35D7"/>
    <w:rsid w:val="00CE7B32"/>
    <w:rsid w:val="00D15E6E"/>
    <w:rsid w:val="00D20A3F"/>
    <w:rsid w:val="00D47568"/>
    <w:rsid w:val="00D5094A"/>
    <w:rsid w:val="00D50D1B"/>
    <w:rsid w:val="00D60663"/>
    <w:rsid w:val="00D74853"/>
    <w:rsid w:val="00DA1A3D"/>
    <w:rsid w:val="00DB254E"/>
    <w:rsid w:val="00DB6552"/>
    <w:rsid w:val="00DB7E6B"/>
    <w:rsid w:val="00DC0FC9"/>
    <w:rsid w:val="00DC5E92"/>
    <w:rsid w:val="00DD2F5F"/>
    <w:rsid w:val="00DD6E00"/>
    <w:rsid w:val="00DD6FA0"/>
    <w:rsid w:val="00DD77D3"/>
    <w:rsid w:val="00DF2FB5"/>
    <w:rsid w:val="00DF7333"/>
    <w:rsid w:val="00E01A5A"/>
    <w:rsid w:val="00E02921"/>
    <w:rsid w:val="00E13DFF"/>
    <w:rsid w:val="00E17016"/>
    <w:rsid w:val="00E25664"/>
    <w:rsid w:val="00E35D74"/>
    <w:rsid w:val="00E3714D"/>
    <w:rsid w:val="00E3725B"/>
    <w:rsid w:val="00E451BF"/>
    <w:rsid w:val="00E6503E"/>
    <w:rsid w:val="00E80EEE"/>
    <w:rsid w:val="00E919C1"/>
    <w:rsid w:val="00E93F6A"/>
    <w:rsid w:val="00EA0363"/>
    <w:rsid w:val="00EA2A78"/>
    <w:rsid w:val="00EA2DE5"/>
    <w:rsid w:val="00EA395B"/>
    <w:rsid w:val="00EA4FCB"/>
    <w:rsid w:val="00EB4B1A"/>
    <w:rsid w:val="00EC07DE"/>
    <w:rsid w:val="00EC2F43"/>
    <w:rsid w:val="00ED2F5A"/>
    <w:rsid w:val="00ED41BB"/>
    <w:rsid w:val="00ED73D9"/>
    <w:rsid w:val="00EE18F6"/>
    <w:rsid w:val="00EE3B86"/>
    <w:rsid w:val="00EF1D68"/>
    <w:rsid w:val="00EF4A47"/>
    <w:rsid w:val="00F00195"/>
    <w:rsid w:val="00F11826"/>
    <w:rsid w:val="00F168BE"/>
    <w:rsid w:val="00F46626"/>
    <w:rsid w:val="00F51AED"/>
    <w:rsid w:val="00F60BF2"/>
    <w:rsid w:val="00F6382E"/>
    <w:rsid w:val="00F6781E"/>
    <w:rsid w:val="00FD635E"/>
    <w:rsid w:val="00FE089F"/>
    <w:rsid w:val="00FE3F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BA8"/>
    <w:pPr>
      <w:tabs>
        <w:tab w:val="left" w:pos="567"/>
        <w:tab w:val="left" w:pos="992"/>
      </w:tabs>
      <w:spacing w:before="180" w:line="280" w:lineRule="exact"/>
      <w:jc w:val="both"/>
    </w:pPr>
    <w:rPr>
      <w:sz w:val="22"/>
      <w:szCs w:val="24"/>
      <w:lang w:eastAsia="en-US"/>
    </w:rPr>
  </w:style>
  <w:style w:type="paragraph" w:styleId="Heading1">
    <w:name w:val="heading 1"/>
    <w:basedOn w:val="Normal"/>
    <w:next w:val="Normal"/>
    <w:qFormat/>
    <w:rsid w:val="00541BA8"/>
    <w:pPr>
      <w:keepNext/>
      <w:keepLines/>
      <w:numPr>
        <w:numId w:val="4"/>
      </w:numPr>
      <w:autoSpaceDE w:val="0"/>
      <w:autoSpaceDN w:val="0"/>
      <w:adjustRightInd w:val="0"/>
      <w:spacing w:before="360" w:after="240" w:line="360" w:lineRule="exact"/>
      <w:jc w:val="left"/>
      <w:outlineLvl w:val="0"/>
    </w:pPr>
    <w:rPr>
      <w:b/>
      <w:color w:val="000000"/>
      <w:sz w:val="28"/>
      <w:szCs w:val="20"/>
      <w:lang w:val="en-US"/>
    </w:rPr>
  </w:style>
  <w:style w:type="paragraph" w:styleId="Heading2">
    <w:name w:val="heading 2"/>
    <w:basedOn w:val="Normal"/>
    <w:next w:val="Normal"/>
    <w:qFormat/>
    <w:rsid w:val="00541BA8"/>
    <w:pPr>
      <w:keepNext/>
      <w:numPr>
        <w:ilvl w:val="1"/>
        <w:numId w:val="4"/>
      </w:numPr>
      <w:spacing w:before="300" w:after="120"/>
      <w:jc w:val="left"/>
      <w:outlineLvl w:val="1"/>
    </w:pPr>
    <w:rPr>
      <w:b/>
      <w:bCs/>
      <w:i/>
      <w:iCs/>
    </w:rPr>
  </w:style>
  <w:style w:type="paragraph" w:styleId="Heading3">
    <w:name w:val="heading 3"/>
    <w:basedOn w:val="Normal"/>
    <w:next w:val="Normal"/>
    <w:qFormat/>
    <w:rsid w:val="00541BA8"/>
    <w:pPr>
      <w:keepNext/>
      <w:numPr>
        <w:ilvl w:val="2"/>
        <w:numId w:val="4"/>
      </w:numPr>
      <w:spacing w:before="240" w:after="120"/>
      <w:jc w:val="left"/>
      <w:outlineLvl w:val="2"/>
    </w:pPr>
    <w:rPr>
      <w:rFonts w:cs="Arial"/>
      <w:bCs/>
      <w:i/>
      <w:szCs w:val="26"/>
      <w:u w:val="single"/>
    </w:rPr>
  </w:style>
  <w:style w:type="paragraph" w:styleId="Heading4">
    <w:name w:val="heading 4"/>
    <w:basedOn w:val="Normal"/>
    <w:next w:val="Normal"/>
    <w:qFormat/>
    <w:rsid w:val="00541BA8"/>
    <w:pPr>
      <w:keepNext/>
      <w:numPr>
        <w:ilvl w:val="3"/>
        <w:numId w:val="4"/>
      </w:numPr>
      <w:tabs>
        <w:tab w:val="clear" w:pos="567"/>
      </w:tabs>
      <w:spacing w:before="120" w:after="120"/>
      <w:outlineLvl w:val="3"/>
    </w:pPr>
    <w:rPr>
      <w:bCs/>
      <w:i/>
      <w:szCs w:val="28"/>
    </w:rPr>
  </w:style>
  <w:style w:type="paragraph" w:styleId="Heading5">
    <w:name w:val="heading 5"/>
    <w:basedOn w:val="Normal"/>
    <w:next w:val="Normal"/>
    <w:qFormat/>
    <w:rsid w:val="00541BA8"/>
    <w:pPr>
      <w:numPr>
        <w:ilvl w:val="4"/>
        <w:numId w:val="4"/>
      </w:numPr>
      <w:tabs>
        <w:tab w:val="clear" w:pos="567"/>
      </w:tabs>
      <w:spacing w:before="120" w:after="120"/>
      <w:outlineLvl w:val="4"/>
    </w:pPr>
    <w:rPr>
      <w:bCs/>
      <w:i/>
      <w:iCs/>
      <w:szCs w:val="26"/>
    </w:rPr>
  </w:style>
  <w:style w:type="paragraph" w:styleId="Heading6">
    <w:name w:val="heading 6"/>
    <w:basedOn w:val="Normal"/>
    <w:next w:val="Normal"/>
    <w:qFormat/>
    <w:rsid w:val="00541BA8"/>
    <w:pPr>
      <w:keepNext/>
      <w:numPr>
        <w:ilvl w:val="5"/>
        <w:numId w:val="4"/>
      </w:numPr>
      <w:tabs>
        <w:tab w:val="clear" w:pos="567"/>
      </w:tabs>
      <w:spacing w:before="120" w:after="120"/>
      <w:outlineLvl w:val="5"/>
    </w:pPr>
    <w:rPr>
      <w:i/>
      <w:iCs/>
      <w:sz w:val="24"/>
    </w:rPr>
  </w:style>
  <w:style w:type="paragraph" w:styleId="Heading7">
    <w:name w:val="heading 7"/>
    <w:basedOn w:val="Normal"/>
    <w:next w:val="Normal"/>
    <w:qFormat/>
    <w:rsid w:val="00541BA8"/>
    <w:pPr>
      <w:numPr>
        <w:ilvl w:val="6"/>
        <w:numId w:val="4"/>
      </w:numPr>
      <w:tabs>
        <w:tab w:val="clear" w:pos="567"/>
      </w:tabs>
      <w:spacing w:before="120" w:after="120"/>
      <w:outlineLvl w:val="6"/>
    </w:pPr>
    <w:rPr>
      <w:i/>
    </w:rPr>
  </w:style>
  <w:style w:type="paragraph" w:styleId="Heading8">
    <w:name w:val="heading 8"/>
    <w:basedOn w:val="Normal"/>
    <w:next w:val="Normal"/>
    <w:qFormat/>
    <w:rsid w:val="00541BA8"/>
    <w:pPr>
      <w:numPr>
        <w:ilvl w:val="7"/>
        <w:numId w:val="4"/>
      </w:numPr>
      <w:tabs>
        <w:tab w:val="clear" w:pos="567"/>
      </w:tabs>
      <w:spacing w:before="120" w:after="120"/>
      <w:outlineLvl w:val="7"/>
    </w:pPr>
    <w:rPr>
      <w:i/>
      <w:iCs/>
    </w:rPr>
  </w:style>
  <w:style w:type="paragraph" w:styleId="Heading9">
    <w:name w:val="heading 9"/>
    <w:basedOn w:val="Normal"/>
    <w:next w:val="Normal"/>
    <w:qFormat/>
    <w:rsid w:val="00541BA8"/>
    <w:pPr>
      <w:numPr>
        <w:ilvl w:val="8"/>
        <w:numId w:val="4"/>
      </w:numPr>
      <w:tabs>
        <w:tab w:val="clear" w:pos="567"/>
      </w:tabs>
      <w:spacing w:before="120" w:after="120"/>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1BA8"/>
    <w:pPr>
      <w:pBdr>
        <w:bottom w:val="single" w:sz="4" w:space="3" w:color="auto"/>
      </w:pBdr>
      <w:tabs>
        <w:tab w:val="clear" w:pos="567"/>
        <w:tab w:val="clear" w:pos="992"/>
        <w:tab w:val="center" w:pos="4153"/>
        <w:tab w:val="right" w:pos="8505"/>
      </w:tabs>
      <w:jc w:val="left"/>
    </w:pPr>
    <w:rPr>
      <w:sz w:val="19"/>
      <w:lang w:val="en-US"/>
    </w:rPr>
  </w:style>
  <w:style w:type="paragraph" w:styleId="Footer">
    <w:name w:val="footer"/>
    <w:basedOn w:val="Normal"/>
    <w:rsid w:val="00541BA8"/>
    <w:pPr>
      <w:pBdr>
        <w:top w:val="single" w:sz="4" w:space="3" w:color="auto"/>
      </w:pBdr>
      <w:tabs>
        <w:tab w:val="clear" w:pos="567"/>
        <w:tab w:val="clear" w:pos="992"/>
        <w:tab w:val="center" w:pos="4253"/>
        <w:tab w:val="right" w:pos="8505"/>
      </w:tabs>
      <w:jc w:val="left"/>
    </w:pPr>
    <w:rPr>
      <w:sz w:val="19"/>
      <w:lang w:val="en-US"/>
    </w:rPr>
  </w:style>
  <w:style w:type="character" w:styleId="PageNumber">
    <w:name w:val="page number"/>
    <w:basedOn w:val="DefaultParagraphFont"/>
    <w:rsid w:val="00541BA8"/>
  </w:style>
  <w:style w:type="paragraph" w:customStyle="1" w:styleId="ActionNumbered">
    <w:name w:val="Action Numbered"/>
    <w:basedOn w:val="Normal"/>
    <w:rsid w:val="00541BA8"/>
    <w:pPr>
      <w:numPr>
        <w:numId w:val="3"/>
      </w:numPr>
      <w:pBdr>
        <w:top w:val="single" w:sz="4" w:space="9" w:color="auto"/>
        <w:left w:val="single" w:sz="4" w:space="7" w:color="auto"/>
        <w:bottom w:val="single" w:sz="4" w:space="9" w:color="auto"/>
        <w:right w:val="single" w:sz="4" w:space="14" w:color="auto"/>
      </w:pBdr>
      <w:spacing w:after="120"/>
      <w:ind w:right="284"/>
      <w:jc w:val="left"/>
    </w:pPr>
  </w:style>
  <w:style w:type="paragraph" w:styleId="ListBullet">
    <w:name w:val="List Bullet"/>
    <w:basedOn w:val="Normal"/>
    <w:rsid w:val="00541BA8"/>
    <w:pPr>
      <w:numPr>
        <w:numId w:val="1"/>
      </w:numPr>
      <w:spacing w:before="120" w:after="120"/>
      <w:jc w:val="left"/>
    </w:pPr>
  </w:style>
  <w:style w:type="paragraph" w:styleId="ListBullet2">
    <w:name w:val="List Bullet 2"/>
    <w:basedOn w:val="Normal"/>
    <w:rsid w:val="00541BA8"/>
    <w:pPr>
      <w:numPr>
        <w:numId w:val="2"/>
      </w:numPr>
      <w:tabs>
        <w:tab w:val="clear" w:pos="567"/>
      </w:tabs>
      <w:spacing w:before="120" w:after="120"/>
      <w:jc w:val="left"/>
    </w:pPr>
  </w:style>
  <w:style w:type="paragraph" w:customStyle="1" w:styleId="Author">
    <w:name w:val="Author"/>
    <w:basedOn w:val="Normal"/>
    <w:rsid w:val="00541BA8"/>
    <w:pPr>
      <w:jc w:val="right"/>
    </w:pPr>
    <w:rPr>
      <w:sz w:val="19"/>
    </w:rPr>
  </w:style>
  <w:style w:type="paragraph" w:styleId="Title">
    <w:name w:val="Title"/>
    <w:basedOn w:val="Normal"/>
    <w:qFormat/>
    <w:rsid w:val="00541BA8"/>
    <w:pPr>
      <w:spacing w:before="360" w:after="240" w:line="360" w:lineRule="exact"/>
      <w:jc w:val="left"/>
      <w:outlineLvl w:val="0"/>
    </w:pPr>
    <w:rPr>
      <w:b/>
      <w:kern w:val="28"/>
      <w:sz w:val="32"/>
      <w:szCs w:val="32"/>
    </w:rPr>
  </w:style>
  <w:style w:type="paragraph" w:customStyle="1" w:styleId="TableHead">
    <w:name w:val="Table Head"/>
    <w:basedOn w:val="Normal"/>
    <w:rsid w:val="00541BA8"/>
    <w:pPr>
      <w:spacing w:before="120" w:after="120" w:line="240" w:lineRule="exact"/>
      <w:jc w:val="left"/>
    </w:pPr>
    <w:rPr>
      <w:b/>
      <w:bCs/>
      <w:sz w:val="19"/>
    </w:rPr>
  </w:style>
  <w:style w:type="paragraph" w:customStyle="1" w:styleId="TableText">
    <w:name w:val="Table Text"/>
    <w:rsid w:val="00541BA8"/>
    <w:pPr>
      <w:tabs>
        <w:tab w:val="left" w:pos="284"/>
        <w:tab w:val="left" w:pos="567"/>
        <w:tab w:val="left" w:pos="992"/>
      </w:tabs>
      <w:spacing w:before="120" w:after="120" w:line="240" w:lineRule="exact"/>
    </w:pPr>
    <w:rPr>
      <w:bCs/>
      <w:sz w:val="19"/>
      <w:lang w:eastAsia="en-US"/>
    </w:rPr>
  </w:style>
  <w:style w:type="paragraph" w:customStyle="1" w:styleId="TableBullet">
    <w:name w:val="Table Bullet"/>
    <w:basedOn w:val="TableText"/>
    <w:rsid w:val="00541BA8"/>
    <w:pPr>
      <w:numPr>
        <w:numId w:val="9"/>
      </w:numPr>
      <w:tabs>
        <w:tab w:val="clear" w:pos="567"/>
      </w:tabs>
    </w:pPr>
  </w:style>
  <w:style w:type="paragraph" w:customStyle="1" w:styleId="ListNumbered">
    <w:name w:val="List Numbered"/>
    <w:basedOn w:val="Normal"/>
    <w:rsid w:val="00541BA8"/>
    <w:pPr>
      <w:numPr>
        <w:numId w:val="10"/>
      </w:numPr>
      <w:spacing w:before="120" w:after="120"/>
      <w:jc w:val="left"/>
    </w:pPr>
  </w:style>
  <w:style w:type="paragraph" w:customStyle="1" w:styleId="ListNumbered2">
    <w:name w:val="List Numbered 2"/>
    <w:basedOn w:val="Normal"/>
    <w:rsid w:val="00541BA8"/>
    <w:pPr>
      <w:numPr>
        <w:numId w:val="5"/>
      </w:numPr>
      <w:tabs>
        <w:tab w:val="clear" w:pos="567"/>
      </w:tabs>
      <w:spacing w:before="120" w:after="120"/>
      <w:jc w:val="left"/>
    </w:pPr>
    <w:rPr>
      <w:lang w:val="en-US"/>
    </w:rPr>
  </w:style>
  <w:style w:type="paragraph" w:customStyle="1" w:styleId="TableNumbered">
    <w:name w:val="Table Numbered"/>
    <w:basedOn w:val="TableText"/>
    <w:rsid w:val="00541BA8"/>
    <w:pPr>
      <w:numPr>
        <w:numId w:val="7"/>
      </w:numPr>
      <w:tabs>
        <w:tab w:val="clear" w:pos="992"/>
      </w:tabs>
    </w:pPr>
  </w:style>
  <w:style w:type="paragraph" w:styleId="FootnoteText">
    <w:name w:val="footnote text"/>
    <w:basedOn w:val="Normal"/>
    <w:semiHidden/>
    <w:rsid w:val="00541BA8"/>
    <w:pPr>
      <w:tabs>
        <w:tab w:val="clear" w:pos="567"/>
        <w:tab w:val="left" w:pos="284"/>
      </w:tabs>
      <w:spacing w:before="0" w:line="240" w:lineRule="exact"/>
      <w:ind w:left="284" w:hanging="284"/>
      <w:jc w:val="left"/>
    </w:pPr>
    <w:rPr>
      <w:sz w:val="19"/>
      <w:szCs w:val="20"/>
    </w:rPr>
  </w:style>
  <w:style w:type="character" w:styleId="FootnoteReference">
    <w:name w:val="footnote reference"/>
    <w:basedOn w:val="DefaultParagraphFont"/>
    <w:semiHidden/>
    <w:rsid w:val="00541BA8"/>
    <w:rPr>
      <w:vertAlign w:val="superscript"/>
    </w:rPr>
  </w:style>
  <w:style w:type="paragraph" w:styleId="TOC1">
    <w:name w:val="toc 1"/>
    <w:basedOn w:val="Normal"/>
    <w:next w:val="Normal"/>
    <w:autoRedefine/>
    <w:semiHidden/>
    <w:rsid w:val="00541BA8"/>
    <w:pPr>
      <w:tabs>
        <w:tab w:val="clear" w:pos="992"/>
        <w:tab w:val="right" w:leader="dot" w:pos="8505"/>
      </w:tabs>
      <w:spacing w:before="120"/>
      <w:ind w:left="567" w:right="566" w:hanging="567"/>
    </w:pPr>
    <w:rPr>
      <w:noProof/>
      <w:szCs w:val="28"/>
    </w:rPr>
  </w:style>
  <w:style w:type="paragraph" w:styleId="TOC2">
    <w:name w:val="toc 2"/>
    <w:basedOn w:val="Normal"/>
    <w:next w:val="Normal"/>
    <w:autoRedefine/>
    <w:semiHidden/>
    <w:rsid w:val="00541BA8"/>
    <w:pPr>
      <w:tabs>
        <w:tab w:val="clear" w:pos="567"/>
        <w:tab w:val="clear" w:pos="992"/>
        <w:tab w:val="left" w:pos="1134"/>
        <w:tab w:val="right" w:leader="dot" w:pos="8505"/>
      </w:tabs>
      <w:spacing w:before="0"/>
      <w:ind w:left="1134" w:right="566" w:hanging="567"/>
    </w:pPr>
    <w:rPr>
      <w:noProof/>
      <w:sz w:val="20"/>
    </w:rPr>
  </w:style>
  <w:style w:type="paragraph" w:styleId="TOC3">
    <w:name w:val="toc 3"/>
    <w:basedOn w:val="Normal"/>
    <w:next w:val="Normal"/>
    <w:autoRedefine/>
    <w:semiHidden/>
    <w:rsid w:val="00541BA8"/>
    <w:pPr>
      <w:tabs>
        <w:tab w:val="clear" w:pos="567"/>
        <w:tab w:val="clear" w:pos="992"/>
        <w:tab w:val="left" w:pos="1701"/>
        <w:tab w:val="right" w:leader="dot" w:pos="8505"/>
      </w:tabs>
      <w:spacing w:before="0"/>
      <w:ind w:left="1701" w:right="567" w:hanging="567"/>
    </w:pPr>
    <w:rPr>
      <w:noProof/>
      <w:sz w:val="20"/>
    </w:rPr>
  </w:style>
  <w:style w:type="paragraph" w:styleId="TOC4">
    <w:name w:val="toc 4"/>
    <w:basedOn w:val="Normal"/>
    <w:next w:val="Normal"/>
    <w:autoRedefine/>
    <w:semiHidden/>
    <w:rsid w:val="00541BA8"/>
    <w:pPr>
      <w:tabs>
        <w:tab w:val="clear" w:pos="567"/>
        <w:tab w:val="clear" w:pos="992"/>
      </w:tabs>
      <w:ind w:left="720"/>
    </w:pPr>
  </w:style>
  <w:style w:type="paragraph" w:styleId="TOC5">
    <w:name w:val="toc 5"/>
    <w:basedOn w:val="Normal"/>
    <w:next w:val="Normal"/>
    <w:autoRedefine/>
    <w:semiHidden/>
    <w:rsid w:val="00541BA8"/>
    <w:pPr>
      <w:tabs>
        <w:tab w:val="clear" w:pos="567"/>
        <w:tab w:val="clear" w:pos="992"/>
      </w:tabs>
      <w:ind w:left="960"/>
    </w:pPr>
  </w:style>
  <w:style w:type="paragraph" w:styleId="TOC6">
    <w:name w:val="toc 6"/>
    <w:basedOn w:val="Normal"/>
    <w:next w:val="Normal"/>
    <w:autoRedefine/>
    <w:semiHidden/>
    <w:rsid w:val="00541BA8"/>
    <w:pPr>
      <w:tabs>
        <w:tab w:val="clear" w:pos="567"/>
        <w:tab w:val="clear" w:pos="992"/>
      </w:tabs>
      <w:ind w:left="1200"/>
    </w:pPr>
  </w:style>
  <w:style w:type="paragraph" w:styleId="TOC7">
    <w:name w:val="toc 7"/>
    <w:basedOn w:val="Normal"/>
    <w:next w:val="Normal"/>
    <w:autoRedefine/>
    <w:semiHidden/>
    <w:rsid w:val="00541BA8"/>
    <w:pPr>
      <w:tabs>
        <w:tab w:val="clear" w:pos="567"/>
        <w:tab w:val="clear" w:pos="992"/>
      </w:tabs>
      <w:ind w:left="1440"/>
    </w:pPr>
  </w:style>
  <w:style w:type="paragraph" w:styleId="TOC8">
    <w:name w:val="toc 8"/>
    <w:basedOn w:val="Normal"/>
    <w:next w:val="Normal"/>
    <w:autoRedefine/>
    <w:semiHidden/>
    <w:rsid w:val="00541BA8"/>
    <w:pPr>
      <w:tabs>
        <w:tab w:val="clear" w:pos="567"/>
        <w:tab w:val="clear" w:pos="992"/>
      </w:tabs>
      <w:ind w:left="1680"/>
    </w:pPr>
  </w:style>
  <w:style w:type="paragraph" w:styleId="TOC9">
    <w:name w:val="toc 9"/>
    <w:basedOn w:val="Normal"/>
    <w:next w:val="Normal"/>
    <w:autoRedefine/>
    <w:semiHidden/>
    <w:rsid w:val="00541BA8"/>
    <w:pPr>
      <w:tabs>
        <w:tab w:val="clear" w:pos="567"/>
        <w:tab w:val="clear" w:pos="992"/>
      </w:tabs>
      <w:ind w:left="1920"/>
    </w:pPr>
  </w:style>
  <w:style w:type="character" w:styleId="Hyperlink">
    <w:name w:val="Hyperlink"/>
    <w:basedOn w:val="DefaultParagraphFont"/>
    <w:rsid w:val="00541BA8"/>
    <w:rPr>
      <w:color w:val="0000FF"/>
      <w:u w:val="single"/>
    </w:rPr>
  </w:style>
  <w:style w:type="paragraph" w:customStyle="1" w:styleId="ListCharacters">
    <w:name w:val="List Characters"/>
    <w:basedOn w:val="ListNumbered"/>
    <w:rsid w:val="00541BA8"/>
    <w:pPr>
      <w:numPr>
        <w:numId w:val="8"/>
      </w:numPr>
    </w:pPr>
  </w:style>
  <w:style w:type="paragraph" w:styleId="ListNumber">
    <w:name w:val="List Number"/>
    <w:basedOn w:val="Normal"/>
    <w:rsid w:val="00541BA8"/>
    <w:pPr>
      <w:numPr>
        <w:numId w:val="6"/>
      </w:numPr>
      <w:tabs>
        <w:tab w:val="clear" w:pos="360"/>
        <w:tab w:val="left" w:pos="284"/>
      </w:tabs>
    </w:pPr>
  </w:style>
  <w:style w:type="paragraph" w:customStyle="1" w:styleId="ActionSub-Point">
    <w:name w:val="Action Sub-Point"/>
    <w:basedOn w:val="ActionNumbered"/>
    <w:rsid w:val="00541BA8"/>
    <w:pPr>
      <w:numPr>
        <w:numId w:val="0"/>
      </w:numPr>
      <w:tabs>
        <w:tab w:val="clear" w:pos="992"/>
        <w:tab w:val="left" w:pos="567"/>
        <w:tab w:val="left" w:pos="993"/>
      </w:tabs>
      <w:spacing w:before="120"/>
      <w:ind w:left="993" w:hanging="851"/>
    </w:pPr>
  </w:style>
  <w:style w:type="paragraph" w:customStyle="1" w:styleId="BoxBanner">
    <w:name w:val="Box Banner"/>
    <w:basedOn w:val="Normal"/>
    <w:rsid w:val="00541BA8"/>
    <w:pPr>
      <w:pBdr>
        <w:top w:val="single" w:sz="4" w:space="14" w:color="auto"/>
        <w:left w:val="single" w:sz="4" w:space="0" w:color="auto"/>
        <w:bottom w:val="single" w:sz="4" w:space="12" w:color="auto"/>
        <w:right w:val="single" w:sz="4" w:space="0" w:color="auto"/>
      </w:pBdr>
      <w:tabs>
        <w:tab w:val="clear" w:pos="567"/>
        <w:tab w:val="clear" w:pos="992"/>
        <w:tab w:val="center" w:pos="4253"/>
      </w:tabs>
      <w:spacing w:before="0" w:line="320" w:lineRule="exact"/>
      <w:jc w:val="center"/>
    </w:pPr>
    <w:rPr>
      <w:bCs/>
      <w:caps/>
    </w:rPr>
  </w:style>
  <w:style w:type="paragraph" w:customStyle="1" w:styleId="ActionCharacter">
    <w:name w:val="Action Character"/>
    <w:basedOn w:val="Normal"/>
    <w:rsid w:val="00541BA8"/>
    <w:pPr>
      <w:numPr>
        <w:numId w:val="11"/>
      </w:numPr>
      <w:pBdr>
        <w:top w:val="single" w:sz="4" w:space="9" w:color="auto"/>
        <w:left w:val="single" w:sz="4" w:space="7" w:color="auto"/>
        <w:bottom w:val="single" w:sz="4" w:space="9" w:color="auto"/>
        <w:right w:val="single" w:sz="4" w:space="14" w:color="auto"/>
      </w:pBdr>
      <w:tabs>
        <w:tab w:val="clear" w:pos="502"/>
      </w:tabs>
      <w:spacing w:after="120"/>
      <w:ind w:left="567" w:right="284" w:hanging="425"/>
      <w:jc w:val="left"/>
    </w:pPr>
  </w:style>
  <w:style w:type="paragraph" w:customStyle="1" w:styleId="BoxTitle">
    <w:name w:val="Box Title"/>
    <w:basedOn w:val="Normal"/>
    <w:rsid w:val="00541BA8"/>
    <w:pPr>
      <w:pBdr>
        <w:top w:val="single" w:sz="4" w:space="14" w:color="auto"/>
        <w:left w:val="single" w:sz="4" w:space="0" w:color="auto"/>
        <w:bottom w:val="single" w:sz="4" w:space="12" w:color="auto"/>
        <w:right w:val="single" w:sz="4" w:space="0" w:color="auto"/>
      </w:pBdr>
      <w:tabs>
        <w:tab w:val="clear" w:pos="567"/>
        <w:tab w:val="clear" w:pos="992"/>
      </w:tabs>
      <w:spacing w:before="320" w:after="320" w:line="400" w:lineRule="exact"/>
      <w:jc w:val="center"/>
    </w:pPr>
    <w:rPr>
      <w:b/>
      <w:bCs/>
      <w:sz w:val="32"/>
      <w:lang w:eastAsia="en-GB"/>
    </w:rPr>
  </w:style>
  <w:style w:type="paragraph" w:customStyle="1" w:styleId="BoxSub">
    <w:name w:val="Box Sub"/>
    <w:basedOn w:val="Normal"/>
    <w:rsid w:val="00541BA8"/>
    <w:pPr>
      <w:pBdr>
        <w:top w:val="single" w:sz="4" w:space="14" w:color="auto"/>
        <w:left w:val="single" w:sz="4" w:space="0" w:color="auto"/>
        <w:bottom w:val="single" w:sz="4" w:space="12" w:color="auto"/>
        <w:right w:val="single" w:sz="4" w:space="0" w:color="auto"/>
      </w:pBdr>
      <w:tabs>
        <w:tab w:val="clear" w:pos="567"/>
        <w:tab w:val="clear" w:pos="992"/>
      </w:tabs>
      <w:spacing w:before="0"/>
      <w:jc w:val="center"/>
    </w:pPr>
  </w:style>
  <w:style w:type="paragraph" w:customStyle="1" w:styleId="BoxCirculated">
    <w:name w:val="Box Circulated"/>
    <w:basedOn w:val="Normal"/>
    <w:rsid w:val="00541BA8"/>
    <w:pPr>
      <w:pBdr>
        <w:top w:val="single" w:sz="4" w:space="14" w:color="auto"/>
        <w:left w:val="single" w:sz="4" w:space="0" w:color="auto"/>
        <w:bottom w:val="single" w:sz="4" w:space="12" w:color="auto"/>
        <w:right w:val="single" w:sz="4" w:space="0" w:color="auto"/>
      </w:pBdr>
      <w:tabs>
        <w:tab w:val="clear" w:pos="567"/>
        <w:tab w:val="clear" w:pos="992"/>
      </w:tabs>
      <w:spacing w:before="120" w:line="240" w:lineRule="exact"/>
      <w:jc w:val="center"/>
    </w:pPr>
    <w:rPr>
      <w:i/>
      <w:iCs/>
      <w:sz w:val="19"/>
      <w:lang w:eastAsia="en-GB"/>
    </w:rPr>
  </w:style>
  <w:style w:type="paragraph" w:customStyle="1" w:styleId="ListCharacters2">
    <w:name w:val="List Characters 2"/>
    <w:basedOn w:val="Normal"/>
    <w:rsid w:val="00541BA8"/>
    <w:pPr>
      <w:numPr>
        <w:ilvl w:val="1"/>
        <w:numId w:val="5"/>
      </w:numPr>
      <w:tabs>
        <w:tab w:val="clear" w:pos="567"/>
        <w:tab w:val="clear" w:pos="992"/>
        <w:tab w:val="clear" w:pos="1505"/>
        <w:tab w:val="left" w:pos="993"/>
      </w:tabs>
      <w:ind w:left="993" w:hanging="426"/>
      <w:jc w:val="left"/>
    </w:pPr>
  </w:style>
  <w:style w:type="paragraph" w:styleId="ListParagraph">
    <w:name w:val="List Paragraph"/>
    <w:basedOn w:val="Normal"/>
    <w:uiPriority w:val="34"/>
    <w:qFormat/>
    <w:rsid w:val="00507EE4"/>
    <w:pPr>
      <w:tabs>
        <w:tab w:val="clear" w:pos="567"/>
        <w:tab w:val="clear" w:pos="992"/>
      </w:tabs>
      <w:spacing w:before="0" w:after="200" w:line="276" w:lineRule="auto"/>
      <w:ind w:left="1304"/>
      <w:jc w:val="left"/>
    </w:pPr>
    <w:rPr>
      <w:rFonts w:ascii="Calibri" w:eastAsia="Calibri" w:hAnsi="Calibri"/>
      <w:szCs w:val="22"/>
      <w:lang w:val="da-DK"/>
    </w:rPr>
  </w:style>
  <w:style w:type="paragraph" w:styleId="BalloonText">
    <w:name w:val="Balloon Text"/>
    <w:basedOn w:val="Normal"/>
    <w:link w:val="BalloonTextChar"/>
    <w:semiHidden/>
    <w:rsid w:val="00507EE4"/>
    <w:pPr>
      <w:tabs>
        <w:tab w:val="clear" w:pos="567"/>
        <w:tab w:val="clear" w:pos="992"/>
      </w:tabs>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07EE4"/>
    <w:rPr>
      <w:rFonts w:ascii="Tahoma" w:hAnsi="Tahoma" w:cs="Tahoma"/>
      <w:sz w:val="16"/>
      <w:szCs w:val="16"/>
      <w:lang w:eastAsia="en-US"/>
    </w:rPr>
  </w:style>
  <w:style w:type="character" w:styleId="CommentReference">
    <w:name w:val="annotation reference"/>
    <w:basedOn w:val="DefaultParagraphFont"/>
    <w:semiHidden/>
    <w:rsid w:val="005F3089"/>
    <w:rPr>
      <w:sz w:val="16"/>
      <w:szCs w:val="16"/>
    </w:rPr>
  </w:style>
  <w:style w:type="paragraph" w:styleId="CommentText">
    <w:name w:val="annotation text"/>
    <w:basedOn w:val="Normal"/>
    <w:semiHidden/>
    <w:rsid w:val="005F3089"/>
    <w:rPr>
      <w:sz w:val="20"/>
      <w:szCs w:val="20"/>
    </w:rPr>
  </w:style>
  <w:style w:type="paragraph" w:styleId="CommentSubject">
    <w:name w:val="annotation subject"/>
    <w:basedOn w:val="CommentText"/>
    <w:next w:val="CommentText"/>
    <w:semiHidden/>
    <w:rsid w:val="005F3089"/>
    <w:rPr>
      <w:b/>
      <w:bCs/>
    </w:rPr>
  </w:style>
  <w:style w:type="character" w:styleId="Emphasis">
    <w:name w:val="Emphasis"/>
    <w:basedOn w:val="DefaultParagraphFont"/>
    <w:uiPriority w:val="20"/>
    <w:qFormat/>
    <w:rsid w:val="00C61138"/>
    <w:rPr>
      <w:b/>
      <w:bCs/>
      <w:i w:val="0"/>
      <w:iCs w:val="0"/>
    </w:rPr>
  </w:style>
  <w:style w:type="character" w:styleId="Strong">
    <w:name w:val="Strong"/>
    <w:basedOn w:val="DefaultParagraphFont"/>
    <w:uiPriority w:val="22"/>
    <w:qFormat/>
    <w:rsid w:val="007F12E7"/>
    <w:rPr>
      <w:b/>
      <w:bCs/>
    </w:rPr>
  </w:style>
  <w:style w:type="paragraph" w:styleId="PlainText">
    <w:name w:val="Plain Text"/>
    <w:basedOn w:val="Normal"/>
    <w:link w:val="PlainTextChar"/>
    <w:uiPriority w:val="99"/>
    <w:semiHidden/>
    <w:unhideWhenUsed/>
    <w:rsid w:val="00E01A5A"/>
    <w:pPr>
      <w:tabs>
        <w:tab w:val="clear" w:pos="567"/>
        <w:tab w:val="clear" w:pos="992"/>
      </w:tabs>
      <w:spacing w:before="0" w:line="240"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semiHidden/>
    <w:rsid w:val="00E01A5A"/>
    <w:rPr>
      <w:rFonts w:ascii="Consolas" w:eastAsia="Calibri" w:hAnsi="Consolas" w:cs="Times New Roman"/>
      <w:sz w:val="21"/>
      <w:szCs w:val="21"/>
      <w:lang w:eastAsia="en-US"/>
    </w:rPr>
  </w:style>
</w:styles>
</file>

<file path=word/webSettings.xml><?xml version="1.0" encoding="utf-8"?>
<w:webSettings xmlns:r="http://schemas.openxmlformats.org/officeDocument/2006/relationships" xmlns:w="http://schemas.openxmlformats.org/wordprocessingml/2006/main">
  <w:divs>
    <w:div w:id="669985236">
      <w:bodyDiv w:val="1"/>
      <w:marLeft w:val="0"/>
      <w:marRight w:val="0"/>
      <w:marTop w:val="0"/>
      <w:marBottom w:val="0"/>
      <w:divBdr>
        <w:top w:val="none" w:sz="0" w:space="0" w:color="auto"/>
        <w:left w:val="none" w:sz="0" w:space="0" w:color="auto"/>
        <w:bottom w:val="none" w:sz="0" w:space="0" w:color="auto"/>
        <w:right w:val="none" w:sz="0" w:space="0" w:color="auto"/>
      </w:divBdr>
    </w:div>
    <w:div w:id="804853730">
      <w:bodyDiv w:val="1"/>
      <w:marLeft w:val="0"/>
      <w:marRight w:val="0"/>
      <w:marTop w:val="0"/>
      <w:marBottom w:val="0"/>
      <w:divBdr>
        <w:top w:val="none" w:sz="0" w:space="0" w:color="auto"/>
        <w:left w:val="none" w:sz="0" w:space="0" w:color="auto"/>
        <w:bottom w:val="none" w:sz="0" w:space="0" w:color="auto"/>
        <w:right w:val="none" w:sz="0" w:space="0" w:color="auto"/>
      </w:divBdr>
    </w:div>
    <w:div w:id="1557080533">
      <w:bodyDiv w:val="1"/>
      <w:marLeft w:val="0"/>
      <w:marRight w:val="0"/>
      <w:marTop w:val="0"/>
      <w:marBottom w:val="0"/>
      <w:divBdr>
        <w:top w:val="none" w:sz="0" w:space="0" w:color="auto"/>
        <w:left w:val="none" w:sz="0" w:space="0" w:color="auto"/>
        <w:bottom w:val="none" w:sz="0" w:space="0" w:color="auto"/>
        <w:right w:val="none" w:sz="0" w:space="0" w:color="auto"/>
      </w:divBdr>
    </w:div>
    <w:div w:id="1773161181">
      <w:bodyDiv w:val="1"/>
      <w:marLeft w:val="0"/>
      <w:marRight w:val="0"/>
      <w:marTop w:val="0"/>
      <w:marBottom w:val="0"/>
      <w:divBdr>
        <w:top w:val="none" w:sz="0" w:space="0" w:color="auto"/>
        <w:left w:val="none" w:sz="0" w:space="0" w:color="auto"/>
        <w:bottom w:val="none" w:sz="0" w:space="0" w:color="auto"/>
        <w:right w:val="none" w:sz="0" w:space="0" w:color="auto"/>
      </w:divBdr>
    </w:div>
    <w:div w:id="207809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Templates\IASC%20Background%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IASC Background Document.dot</Template>
  <TotalTime>62</TotalTime>
  <Pages>7</Pages>
  <Words>2156</Words>
  <Characters>12294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INTER–AGENCY STANDING COMMITTEE WORKING GROUP</vt:lpstr>
    </vt:vector>
  </TitlesOfParts>
  <Company>unog</Company>
  <LinksUpToDate>false</LinksUpToDate>
  <CharactersWithSpaces>14422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INTER–AGENCY STANDING COMMITTEE WORKING GROUP</dc:title>
  <dc:subject/>
  <dc:creator>Jacob Korreborg</dc:creator>
  <cp:keywords/>
  <dc:description/>
  <cp:lastModifiedBy>Customer</cp:lastModifiedBy>
  <cp:revision>7</cp:revision>
  <cp:lastPrinted>2010-09-24T13:03:00Z</cp:lastPrinted>
  <dcterms:created xsi:type="dcterms:W3CDTF">2010-10-04T09:17:00Z</dcterms:created>
  <dcterms:modified xsi:type="dcterms:W3CDTF">2010-10-05T09:21:00Z</dcterms:modified>
</cp:coreProperties>
</file>